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ind w:hanging="0"/>
        <w:jc w:val="right"/>
        <w:rPr>
          <w:rFonts w:eastAsia="Calibri"/>
          <w:b w:val="false"/>
          <w:bCs w:val="false"/>
          <w:sz w:val="22"/>
          <w:szCs w:val="22"/>
        </w:rPr>
      </w:pPr>
      <w:r>
        <w:rPr>
          <w:rFonts w:eastAsia="Calibri"/>
          <w:b w:val="false"/>
          <w:bCs w:val="false"/>
          <w:sz w:val="22"/>
          <w:szCs w:val="22"/>
        </w:rPr>
        <w:t>Приложение №1 к Документации о закупке</w:t>
      </w:r>
    </w:p>
    <w:p>
      <w:pPr>
        <w:pStyle w:val="Normal"/>
        <w:keepNext w:val="true"/>
        <w:keepLines/>
        <w:ind w:hanging="0"/>
        <w:jc w:val="left"/>
        <w:rPr>
          <w:rFonts w:eastAsia="Calibri"/>
          <w:b/>
          <w:bCs/>
        </w:rPr>
      </w:pPr>
      <w:r>
        <w:rPr>
          <w:rFonts w:eastAsia="Calibri"/>
          <w:b/>
          <w:bCs/>
        </w:rPr>
      </w:r>
    </w:p>
    <w:p>
      <w:pPr>
        <w:pStyle w:val="Normal"/>
        <w:keepNext w:val="true"/>
        <w:keepLines/>
        <w:ind w:hanging="0"/>
        <w:jc w:val="left"/>
        <w:rPr>
          <w:rFonts w:eastAsia="Calibri"/>
          <w:b/>
          <w:bCs/>
        </w:rPr>
      </w:pPr>
      <w:r>
        <w:rPr>
          <w:rFonts w:eastAsia="Calibri"/>
          <w:b/>
          <w:bCs/>
        </w:rPr>
      </w:r>
    </w:p>
    <w:p>
      <w:pPr>
        <w:pStyle w:val="Normal"/>
        <w:keepNext w:val="true"/>
        <w:keepLines/>
        <w:ind w:hanging="0"/>
        <w:jc w:val="left"/>
        <w:rPr>
          <w:rFonts w:eastAsia="Calibri"/>
          <w:b/>
          <w:bCs/>
          <w:highlight w:val="none"/>
        </w:rPr>
      </w:pPr>
      <w:r>
        <w:rPr>
          <w:rFonts w:eastAsia="Calibri"/>
          <w:b/>
          <w:bCs/>
        </w:rPr>
      </w:r>
    </w:p>
    <w:p>
      <w:pPr>
        <w:pStyle w:val="Normal"/>
        <w:keepNext w:val="true"/>
        <w:keepLines/>
        <w:ind w:hanging="0"/>
        <w:jc w:val="left"/>
        <w:rPr>
          <w:rFonts w:eastAsia="Calibri"/>
          <w:b/>
          <w:bCs/>
          <w:highlight w:val="none"/>
        </w:rPr>
      </w:pPr>
      <w:r>
        <w:rPr>
          <w:rFonts w:eastAsia="Calibri"/>
          <w:b/>
          <w:bCs/>
        </w:rPr>
      </w:r>
    </w:p>
    <w:p>
      <w:pPr>
        <w:pStyle w:val="Normal"/>
        <w:keepNext w:val="true"/>
        <w:keepLines/>
        <w:ind w:left="0" w:right="0" w:hanging="0"/>
        <w:jc w:val="center"/>
        <w:rPr>
          <w:rFonts w:eastAsia="Calibri"/>
          <w:b/>
          <w:bCs/>
          <w:sz w:val="28"/>
          <w:szCs w:val="28"/>
          <w:highlight w:val="none"/>
        </w:rPr>
      </w:pPr>
      <w:r>
        <w:rPr>
          <w:rFonts w:eastAsia="Calibri"/>
          <w:b/>
          <w:sz w:val="28"/>
          <w:szCs w:val="28"/>
        </w:rPr>
        <w:t>Технические требования на выполнение работ</w:t>
      </w:r>
    </w:p>
    <w:p>
      <w:pPr>
        <w:pStyle w:val="Normal"/>
        <w:keepNext w:val="true"/>
        <w:keepLines/>
        <w:ind w:hanging="0"/>
        <w:jc w:val="left"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</w:p>
    <w:p>
      <w:pPr>
        <w:pStyle w:val="Normal"/>
        <w:keepNext w:val="true"/>
        <w:keepLines/>
        <w:spacing w:lineRule="auto" w:line="240"/>
        <w:ind w:hanging="0"/>
        <w:jc w:val="left"/>
        <w:rPr>
          <w:rFonts w:eastAsia="Calibri"/>
          <w:b/>
          <w:sz w:val="28"/>
          <w:szCs w:val="26"/>
        </w:rPr>
      </w:pPr>
      <w:r>
        <w:rPr>
          <w:rFonts w:eastAsia="Calibri"/>
          <w:b/>
          <w:sz w:val="28"/>
          <w:szCs w:val="26"/>
        </w:rPr>
      </w:r>
    </w:p>
    <w:p>
      <w:pPr>
        <w:pStyle w:val="Normal"/>
        <w:spacing w:lineRule="auto" w:line="240" w:before="60" w:after="60"/>
        <w:ind w:right="-108" w:hanging="0"/>
        <w:jc w:val="center"/>
        <w:rPr>
          <w:i w:val="false"/>
          <w:i w:val="false"/>
          <w:iCs w:val="false"/>
          <w:color w:val="1D2228"/>
          <w:sz w:val="22"/>
          <w:szCs w:val="22"/>
          <w:shd w:fill="FFFFFF" w:val="clear"/>
        </w:rPr>
      </w:pPr>
      <w:r>
        <w:rPr>
          <w:i w:val="false"/>
          <w:iCs w:val="false"/>
          <w:color w:val="1D2228"/>
          <w:szCs w:val="24"/>
          <w:shd w:fill="FFFFFF" w:val="clear"/>
        </w:rPr>
        <w:t>ОКПД2 42.11.20 Выполнение работ по восстановлению нарушенного благоустройства после устранения аварийных порывов на теплотрассах, ремонт тепловых камер, для СП «ХТС» г. Хабаровск (ПП: 10.3-Рем-2022-ХТС)</w:t>
      </w:r>
    </w:p>
    <w:p>
      <w:pPr>
        <w:pStyle w:val="Normal"/>
        <w:keepNext w:val="true"/>
        <w:keepLines/>
        <w:spacing w:lineRule="auto" w:line="240"/>
        <w:ind w:hanging="0"/>
        <w:jc w:val="left"/>
        <w:rPr>
          <w:rFonts w:eastAsia="Calibri"/>
          <w:highlight w:val="yellow"/>
        </w:rPr>
      </w:pPr>
      <w:r>
        <w:rPr>
          <w:rFonts w:eastAsia="Calibri"/>
          <w:highlight w:val="yellow"/>
        </w:rPr>
      </w:r>
    </w:p>
    <w:p>
      <w:pPr>
        <w:pStyle w:val="Normal"/>
        <w:keepNext w:val="true"/>
        <w:keepLines/>
        <w:spacing w:lineRule="auto" w:line="240"/>
        <w:ind w:hanging="0"/>
        <w:jc w:val="left"/>
        <w:rPr>
          <w:rFonts w:eastAsia="Calibri"/>
          <w:highlight w:val="yellow"/>
        </w:rPr>
      </w:pPr>
      <w:r>
        <w:rPr>
          <w:rFonts w:eastAsia="Calibri"/>
          <w:highlight w:val="yellow"/>
        </w:rPr>
      </w:r>
    </w:p>
    <w:p>
      <w:pPr>
        <w:pStyle w:val="Normal"/>
        <w:keepNext w:val="true"/>
        <w:keepLines/>
        <w:spacing w:lineRule="auto" w:line="240"/>
        <w:ind w:hanging="0"/>
        <w:jc w:val="center"/>
        <w:rPr>
          <w:b/>
          <w:szCs w:val="24"/>
        </w:rPr>
      </w:pPr>
      <w:r>
        <w:rPr>
          <w:rFonts w:eastAsia="Calibri"/>
          <w:b/>
          <w:szCs w:val="24"/>
        </w:rPr>
        <w:t xml:space="preserve">Лот № </w:t>
      </w:r>
      <w:r>
        <w:rPr>
          <w:b/>
          <w:sz w:val="22"/>
          <w:szCs w:val="22"/>
          <w:lang w:eastAsia="en-US"/>
        </w:rPr>
        <w:t>11026001-РЕМ ПРОД-2027-ДГК-ХТС</w:t>
      </w:r>
    </w:p>
    <w:p>
      <w:pPr>
        <w:pStyle w:val="Normal"/>
        <w:keepNext w:val="true"/>
        <w:keepLines/>
        <w:ind w:hanging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ind w:hanging="0"/>
        <w:jc w:val="left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spacing w:lineRule="auto" w:line="259" w:before="0" w:after="160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  <w:r>
        <w:br w:type="page"/>
      </w:r>
    </w:p>
    <w:p>
      <w:pPr>
        <w:pStyle w:val="Normal"/>
        <w:keepNext w:val="true"/>
        <w:keepLines/>
        <w:ind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СОДЕРЖАНИЕ 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9"/>
              <w:tab w:val="right" w:pos="9912" w:leader="dot"/>
            </w:tabs>
            <w:spacing w:before="0" w:after="0"/>
            <w:rPr>
              <w:rFonts w:ascii="Times New Roman" w:hAnsi="Times New Roman" w:eastAsia="Arial" w:eastAsiaTheme="minorEastAsia"/>
              <w:b w:val="false"/>
              <w:bCs w:val="false"/>
              <w:sz w:val="24"/>
              <w:szCs w:val="24"/>
            </w:rPr>
          </w:pPr>
          <w:r>
            <w:fldChar w:fldCharType="begin"/>
          </w:r>
          <w:r>
            <w:rPr>
              <w:webHidden/>
              <w:rStyle w:val="Style14"/>
              <w:sz w:val="24"/>
              <w:rFonts w:ascii="Times New Roman" w:hAnsi="Times New Roman"/>
            </w:rPr>
            <w:instrText xml:space="preserve"> TOC \z \o "1-3" \u \h</w:instrText>
          </w:r>
          <w:r>
            <w:rPr>
              <w:webHidden/>
              <w:rStyle w:val="Style14"/>
              <w:sz w:val="24"/>
              <w:rFonts w:ascii="Times New Roman" w:hAnsi="Times New Roman"/>
            </w:rPr>
            <w:fldChar w:fldCharType="separate"/>
          </w:r>
          <w:hyperlink w:anchor="_Toc157784541" w:tgtFrame="#_Toc15778454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_Toc157784541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sz w:val="24"/>
              </w:rPr>
              <w:t>1. 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9"/>
              <w:tab w:val="right" w:pos="9912" w:leader="dot"/>
            </w:tabs>
            <w:spacing w:before="0" w:after="0"/>
            <w:ind w:left="0" w:firstLine="652"/>
            <w:rPr>
              <w:rFonts w:ascii="Times New Roman" w:hAnsi="Times New Roman" w:eastAsia="Arial" w:eastAsiaTheme="minorEastAsia"/>
              <w:i w:val="false"/>
              <w:i w:val="false"/>
              <w:iCs w:val="false"/>
              <w:sz w:val="28"/>
              <w:szCs w:val="22"/>
            </w:rPr>
          </w:pPr>
          <w:hyperlink w:anchor="_Toc157784542" w:tgtFrame="#_Toc15778454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_Toc157784542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i w:val="false"/>
                <w:sz w:val="24"/>
              </w:rPr>
              <w:t>1.1. 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9"/>
              <w:tab w:val="right" w:pos="9912" w:leader="dot"/>
            </w:tabs>
            <w:spacing w:before="0" w:after="0"/>
            <w:ind w:left="0" w:firstLine="652"/>
            <w:rPr>
              <w:rFonts w:ascii="Times New Roman" w:hAnsi="Times New Roman" w:eastAsia="Arial" w:eastAsiaTheme="minorEastAsia"/>
              <w:i w:val="false"/>
              <w:i w:val="false"/>
              <w:iCs w:val="false"/>
              <w:sz w:val="28"/>
              <w:szCs w:val="22"/>
            </w:rPr>
          </w:pPr>
          <w:hyperlink w:anchor="_Toc157784543" w:tgtFrame="#_Toc15778454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_Toc157784543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i w:val="false"/>
                <w:sz w:val="24"/>
              </w:rPr>
              <w:t>1.2 Наименование закупаемой продукции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9"/>
              <w:tab w:val="right" w:pos="9912" w:leader="dot"/>
            </w:tabs>
            <w:spacing w:before="0" w:after="0"/>
            <w:ind w:left="0" w:firstLine="652"/>
            <w:rPr>
              <w:rFonts w:ascii="Times New Roman" w:hAnsi="Times New Roman" w:eastAsia="Arial" w:eastAsiaTheme="minorEastAsia"/>
              <w:i w:val="false"/>
              <w:i w:val="false"/>
              <w:iCs w:val="false"/>
              <w:sz w:val="28"/>
              <w:szCs w:val="22"/>
            </w:rPr>
          </w:pPr>
          <w:hyperlink w:anchor="_Toc157784544" w:tgtFrame="#_Toc15778454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_Toc157784544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i w:val="false"/>
                <w:sz w:val="24"/>
              </w:rPr>
              <w:t>1.3 Цель выполнения работ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2" w:leader="dot"/>
            </w:tabs>
            <w:spacing w:before="0" w:after="0"/>
            <w:rPr>
              <w:rFonts w:ascii="Times New Roman" w:hAnsi="Times New Roman" w:eastAsia="Arial" w:eastAsiaTheme="minorEastAsia"/>
              <w:b w:val="false"/>
              <w:bCs w:val="false"/>
              <w:sz w:val="28"/>
              <w:szCs w:val="22"/>
            </w:rPr>
          </w:pPr>
          <w:hyperlink w:anchor="_Toc157784545" w:tgtFrame="#_Toc15778454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_Toc157784545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sz w:val="24"/>
              </w:rPr>
              <w:t>Таблица 1. Перечень объектов заказчика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9"/>
              <w:tab w:val="right" w:pos="9912" w:leader="dot"/>
            </w:tabs>
            <w:spacing w:before="0" w:after="0"/>
            <w:ind w:left="709" w:right="0" w:hanging="0"/>
            <w:jc w:val="both"/>
            <w:rPr>
              <w:rFonts w:ascii="Times New Roman" w:hAnsi="Times New Roman" w:eastAsia="Arial" w:eastAsiaTheme="minorEastAsia"/>
              <w:i w:val="false"/>
              <w:i w:val="false"/>
              <w:iCs w:val="false"/>
              <w:sz w:val="28"/>
              <w:szCs w:val="22"/>
            </w:rPr>
          </w:pPr>
          <w:hyperlink w:anchor="_Toc157784546" w:tgtFrame="#_Toc15778454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_Toc157784546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i w:val="false"/>
                <w:sz w:val="24"/>
              </w:rPr>
              <w:t>1.4.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2" w:leader="dot"/>
            </w:tabs>
            <w:spacing w:before="0" w:after="0"/>
            <w:rPr>
              <w:rFonts w:ascii="Times New Roman" w:hAnsi="Times New Roman" w:eastAsia="Arial" w:eastAsiaTheme="minorEastAsia"/>
              <w:b w:val="false"/>
              <w:bCs w:val="false"/>
              <w:sz w:val="28"/>
              <w:szCs w:val="22"/>
            </w:rPr>
          </w:pPr>
          <w:hyperlink w:anchor="_Toc157784547" w:tgtFrame="#_Toc15778454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_Toc157784547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sz w:val="24"/>
              </w:rPr>
              <w:t>2. Требования к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9"/>
              <w:tab w:val="right" w:pos="9912" w:leader="dot"/>
            </w:tabs>
            <w:spacing w:before="0" w:after="0"/>
            <w:ind w:left="0" w:firstLine="652"/>
            <w:rPr>
              <w:rFonts w:ascii="Times New Roman" w:hAnsi="Times New Roman" w:eastAsia="Arial" w:eastAsiaTheme="minorEastAsia"/>
              <w:i w:val="false"/>
              <w:i w:val="false"/>
              <w:iCs w:val="false"/>
              <w:sz w:val="28"/>
              <w:szCs w:val="22"/>
            </w:rPr>
          </w:pPr>
          <w:hyperlink w:anchor="_Toc157784548" w:tgtFrame="#_Toc15778454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_Toc157784548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i w:val="false"/>
                <w:sz w:val="24"/>
              </w:rPr>
              <w:t>2.1 Требования к объемам и срокам выполнения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9"/>
              <w:tab w:val="right" w:pos="9912" w:leader="dot"/>
            </w:tabs>
            <w:ind w:left="0" w:firstLine="652"/>
            <w:rPr>
              <w:rFonts w:ascii="Times New Roman" w:hAnsi="Times New Roman" w:eastAsia="Arial" w:eastAsiaTheme="minorEastAsia"/>
              <w:sz w:val="28"/>
              <w:szCs w:val="22"/>
            </w:rPr>
          </w:pPr>
          <w:hyperlink w:anchor="_Toc157784549" w:tgtFrame="#_Toc15778454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_Toc157784549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sz w:val="24"/>
              </w:rPr>
              <w:t>2.1.1 Требования к видам и объемам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2" w:leader="dot"/>
            </w:tabs>
            <w:spacing w:before="0" w:after="0"/>
            <w:rPr>
              <w:rFonts w:ascii="Times New Roman" w:hAnsi="Times New Roman" w:eastAsia="Arial" w:eastAsiaTheme="minorEastAsia"/>
              <w:b w:val="false"/>
              <w:bCs w:val="false"/>
              <w:sz w:val="28"/>
              <w:szCs w:val="22"/>
            </w:rPr>
          </w:pPr>
          <w:hyperlink w:anchor="_Toc157784550" w:tgtFrame="#_Toc157784550">
            <w:r>
              <w:rPr>
                <w:webHidden/>
                <w:rStyle w:val="Style14"/>
                <w:rFonts w:ascii="Times New Roman" w:hAnsi="Times New Roman"/>
                <w:sz w:val="24"/>
              </w:rPr>
              <w:t>Таблица 2. Перечень и объем выполняемых работ</w:t>
              <w:tab/>
            </w:r>
          </w:hyperlink>
          <w:r>
            <w:rPr>
              <w:rFonts w:eastAsia="Arial" w:ascii="Times New Roman" w:hAnsi="Times New Roman" w:eastAsiaTheme="minorEastAsia"/>
              <w:b w:val="false"/>
              <w:bCs w:val="false"/>
              <w:sz w:val="28"/>
              <w:szCs w:val="22"/>
            </w:rPr>
            <w:t>4</w:t>
          </w:r>
        </w:p>
        <w:p>
          <w:pPr>
            <w:pStyle w:val="TOC3"/>
            <w:tabs>
              <w:tab w:val="clear" w:pos="709"/>
              <w:tab w:val="right" w:pos="9912" w:leader="dot"/>
            </w:tabs>
            <w:ind w:left="0" w:firstLine="652"/>
            <w:rPr>
              <w:rFonts w:ascii="Times New Roman" w:hAnsi="Times New Roman" w:eastAsia="Arial" w:eastAsiaTheme="minorEastAsia"/>
              <w:sz w:val="28"/>
              <w:szCs w:val="22"/>
            </w:rPr>
          </w:pPr>
          <w:hyperlink w:anchor="_Toc157784551" w:tgtFrame="#_Toc157784551">
            <w:r>
              <w:rPr>
                <w:webHidden/>
                <w:rStyle w:val="Style14"/>
                <w:rFonts w:ascii="Times New Roman" w:hAnsi="Times New Roman"/>
                <w:sz w:val="24"/>
              </w:rPr>
              <w:t>2.1.2 Требования к срокам выполнения работ</w:t>
              <w:tab/>
            </w:r>
          </w:hyperlink>
          <w:r>
            <w:rPr>
              <w:rFonts w:eastAsia="Arial" w:ascii="Times New Roman" w:hAnsi="Times New Roman" w:eastAsiaTheme="minorEastAsia"/>
              <w:sz w:val="28"/>
              <w:szCs w:val="22"/>
            </w:rPr>
            <w:t>4</w:t>
          </w:r>
        </w:p>
        <w:p>
          <w:pPr>
            <w:pStyle w:val="TOC1"/>
            <w:tabs>
              <w:tab w:val="clear" w:pos="709"/>
              <w:tab w:val="right" w:pos="9912" w:leader="dot"/>
            </w:tabs>
            <w:spacing w:before="0" w:after="0"/>
            <w:rPr>
              <w:rFonts w:ascii="Times New Roman" w:hAnsi="Times New Roman" w:eastAsia="Arial" w:eastAsiaTheme="minorEastAsia"/>
              <w:b w:val="false"/>
              <w:bCs w:val="false"/>
              <w:sz w:val="28"/>
              <w:szCs w:val="22"/>
            </w:rPr>
          </w:pPr>
          <w:hyperlink w:anchor="_Toc157784552" w:tgtFrame="#_Toc15778455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_Toc157784552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sz w:val="24"/>
              </w:rPr>
              <w:t>Таблица 3. Требования по срокам выполнения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9"/>
              <w:tab w:val="right" w:pos="9912" w:leader="dot"/>
            </w:tabs>
            <w:spacing w:before="0" w:after="0"/>
            <w:ind w:left="0" w:firstLine="652"/>
            <w:rPr>
              <w:rFonts w:ascii="Times New Roman" w:hAnsi="Times New Roman" w:eastAsia="Arial" w:eastAsiaTheme="minorEastAsia"/>
              <w:i w:val="false"/>
              <w:i w:val="false"/>
              <w:iCs w:val="false"/>
              <w:sz w:val="28"/>
              <w:szCs w:val="22"/>
            </w:rPr>
          </w:pPr>
          <w:hyperlink w:anchor="_Toc157784553" w:tgtFrame="#_Toc15778455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_Toc157784553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i w:val="false"/>
                <w:sz w:val="24"/>
              </w:rPr>
              <w:t>2.2 Требования к качеству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2" w:leader="dot"/>
            </w:tabs>
            <w:spacing w:before="0" w:after="0"/>
            <w:rPr>
              <w:rFonts w:ascii="Times New Roman" w:hAnsi="Times New Roman"/>
              <w:sz w:val="24"/>
            </w:rPr>
          </w:pPr>
          <w:hyperlink w:anchor="_Toc157784554" w:tgtFrame="#_Toc15778455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_Toc157784554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sz w:val="24"/>
              </w:rPr>
              <w:t>Таблица 4. Требования к качеству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2" w:leader="dot"/>
            </w:tabs>
            <w:spacing w:before="0" w:after="0"/>
            <w:rPr>
              <w:rFonts w:ascii="Times New Roman" w:hAnsi="Times New Roman"/>
              <w:sz w:val="24"/>
            </w:rPr>
          </w:pPr>
          <w:hyperlink w:anchor="_Toc157784556" w:tgtFrame="#_Toc15778455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_Toc157784556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sz w:val="24"/>
              </w:rPr>
              <w:t>3. Требования к документации по ценообразованию на этапе закупки</w:t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2" w:leader="dot"/>
            </w:tabs>
            <w:spacing w:before="0" w:after="0"/>
            <w:ind w:left="709" w:right="0" w:hanging="0"/>
            <w:rPr>
              <w:rFonts w:ascii="Times New Roman" w:hAnsi="Times New Roman" w:eastAsia="Arial" w:eastAsiaTheme="minorEastAsia"/>
              <w:b w:val="false"/>
              <w:bCs w:val="false"/>
              <w:sz w:val="28"/>
              <w:szCs w:val="22"/>
            </w:rPr>
          </w:pPr>
          <w:hyperlink w:anchor="_Toc157784557" w:tgtFrame="#_Toc15778455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_Toc157784557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sz w:val="24"/>
              </w:rPr>
              <w:t>4. Требования к документации по ценообразованию на этапе заключения (исполнения) договора</w:t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709"/>
              <w:tab w:val="right" w:pos="9912" w:leader="dot"/>
            </w:tabs>
            <w:spacing w:before="0" w:after="0"/>
            <w:ind w:left="0" w:firstLine="652"/>
            <w:rPr>
              <w:rFonts w:ascii="Times New Roman" w:hAnsi="Times New Roman" w:eastAsia="Arial" w:eastAsiaTheme="minorEastAsia"/>
              <w:i w:val="false"/>
              <w:i w:val="false"/>
              <w:iCs w:val="false"/>
              <w:sz w:val="28"/>
              <w:szCs w:val="22"/>
            </w:rPr>
          </w:pPr>
          <w:hyperlink w:anchor="_Toc157784558" w:tgtFrame="#_Toc15778455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_Toc157784558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ascii="Times New Roman" w:hAnsi="Times New Roman"/>
                <w:i w:val="false"/>
                <w:sz w:val="24"/>
              </w:rPr>
              <w:t>4.1. Требования к составлению сметной документации (при заключении договора)         19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2" w:leader="dot"/>
            </w:tabs>
            <w:spacing w:before="0" w:after="0"/>
            <w:rPr>
              <w:rFonts w:ascii="Times New Roman" w:hAnsi="Times New Roman" w:eastAsia="Arial" w:eastAsiaTheme="minorEastAsia"/>
              <w:b w:val="false"/>
              <w:bCs w:val="false"/>
              <w:sz w:val="24"/>
              <w:szCs w:val="24"/>
            </w:rPr>
          </w:pPr>
          <w:hyperlink w:anchor="_Toc157784559" w:tgtFrame="#_Toc157784559">
            <w:r>
              <w:rPr>
                <w:webHidden/>
                <w:rStyle w:val="Style14"/>
                <w:rFonts w:ascii="Times New Roman" w:hAnsi="Times New Roman"/>
                <w:sz w:val="24"/>
              </w:rPr>
              <w:t>5. Приложения</w:t>
              <w:tab/>
            </w:r>
          </w:hyperlink>
          <w:r>
            <w:rPr>
              <w:rFonts w:eastAsia="Arial" w:ascii="Times New Roman" w:hAnsi="Times New Roman" w:eastAsiaTheme="minorEastAsia"/>
              <w:b w:val="false"/>
              <w:bCs w:val="false"/>
              <w:sz w:val="24"/>
              <w:szCs w:val="24"/>
            </w:rPr>
            <w:t>20</w:t>
          </w:r>
          <w:r>
            <w:rPr>
              <w:sz w:val="24"/>
              <w:b w:val="false"/>
              <w:szCs w:val="24"/>
              <w:bCs w:val="false"/>
              <w:rFonts w:eastAsia="Arial" w:ascii="Times New Roman" w:hAnsi="Times New Roman"/>
            </w:rPr>
            <w:fldChar w:fldCharType="end"/>
          </w:r>
        </w:p>
      </w:sdtContent>
    </w:sdt>
    <w:p>
      <w:pPr>
        <w:pStyle w:val="Normal"/>
        <w:keepNext w:val="true"/>
        <w:keepLines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spacing w:lineRule="auto" w:line="259" w:before="0" w:after="160"/>
        <w:rPr>
          <w:rFonts w:eastAsia="Calibri"/>
          <w:b/>
        </w:rPr>
      </w:pPr>
      <w:r>
        <w:rPr>
          <w:rFonts w:eastAsia="Calibri"/>
          <w:b/>
        </w:rPr>
      </w:r>
      <w:r>
        <w:br w:type="page"/>
      </w:r>
    </w:p>
    <w:p>
      <w:pPr>
        <w:pStyle w:val="Heading1"/>
        <w:rPr/>
      </w:pPr>
      <w:bookmarkStart w:id="0" w:name="_Toc157784541"/>
      <w:r>
        <w:rPr/>
        <w:t>1.</w:t>
      </w:r>
      <w:r>
        <w:rPr>
          <w:sz w:val="24"/>
          <w:szCs w:val="24"/>
        </w:rPr>
        <w:t xml:space="preserve"> Общие сведения</w:t>
      </w:r>
      <w:bookmarkEnd w:id="0"/>
    </w:p>
    <w:p>
      <w:pPr>
        <w:pStyle w:val="Heading2"/>
        <w:rPr>
          <w:sz w:val="24"/>
          <w:szCs w:val="24"/>
        </w:rPr>
      </w:pPr>
      <w:bookmarkStart w:id="1" w:name="_Toc157784542"/>
      <w:r>
        <w:rPr>
          <w:sz w:val="24"/>
          <w:szCs w:val="24"/>
        </w:rPr>
        <w:t xml:space="preserve">1.1. </w:t>
      </w:r>
      <w:bookmarkStart w:id="2" w:name="_Toc54646396"/>
      <w:bookmarkStart w:id="3" w:name="_Toc46743505"/>
      <w:r>
        <w:rPr>
          <w:sz w:val="24"/>
          <w:szCs w:val="24"/>
        </w:rPr>
        <w:t>Обозначения и сокращения</w:t>
      </w:r>
      <w:bookmarkEnd w:id="1"/>
      <w:bookmarkEnd w:id="2"/>
      <w:bookmarkEnd w:id="3"/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 техническая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/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shd w:fill="FFFFFF" w:val="clear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shd w:fill="FFFFFF" w:val="clear"/>
              </w:rPr>
              <w:t>Санитарные нормы и правила</w:t>
            </w:r>
          </w:p>
        </w:tc>
      </w:tr>
      <w:tr>
        <w:trPr/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Инженерно-технические работники;</w:t>
            </w:r>
          </w:p>
        </w:tc>
      </w:tr>
      <w:tr>
        <w:trPr/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shd w:fill="FFFFFF" w:val="clear"/>
              </w:rPr>
              <w:t>ТОиР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sz w:val="24"/>
                <w:szCs w:val="24"/>
              </w:rPr>
              <w:t>Техническое обслуживание и ремонт</w:t>
            </w:r>
          </w:p>
        </w:tc>
      </w:tr>
    </w:tbl>
    <w:p>
      <w:pPr>
        <w:pStyle w:val="ListParagraph"/>
        <w:spacing w:lineRule="auto" w:line="360"/>
        <w:ind w:left="567" w:firstLine="652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Heading2"/>
        <w:rPr>
          <w:sz w:val="24"/>
          <w:szCs w:val="24"/>
        </w:rPr>
      </w:pPr>
      <w:bookmarkStart w:id="4" w:name="_Toc157784543"/>
      <w:r>
        <w:rPr>
          <w:sz w:val="24"/>
          <w:szCs w:val="24"/>
        </w:rPr>
        <w:t>1.2 Наименование закупаемой продукции</w:t>
      </w:r>
      <w:bookmarkEnd w:id="4"/>
    </w:p>
    <w:p>
      <w:pPr>
        <w:pStyle w:val="ListParagraph"/>
        <w:ind w:left="0" w:firstLine="652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rFonts w:eastAsia="Calibri"/>
          <w:sz w:val="24"/>
          <w:szCs w:val="24"/>
        </w:rPr>
        <w:t>ОКПД2 42.11.20 Выполнение работ по восстановлению нарушенного благоустройства после устранения аварийных порывов на теплотрассах, ремонт тепловых камер, для СП «ХТС» г. Хабаровск (ПП: 10.3-Рем-2022-ХТС)</w:t>
      </w:r>
      <w:r>
        <w:rPr>
          <w:sz w:val="24"/>
          <w:szCs w:val="24"/>
        </w:rPr>
        <w:t>».</w:t>
      </w:r>
    </w:p>
    <w:p>
      <w:pPr>
        <w:pStyle w:val="ListParagraph"/>
        <w:ind w:left="0" w:firstLine="652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2"/>
        <w:rPr>
          <w:sz w:val="24"/>
          <w:szCs w:val="24"/>
        </w:rPr>
      </w:pPr>
      <w:bookmarkStart w:id="5" w:name="_Toc157784544"/>
      <w:r>
        <w:rPr>
          <w:sz w:val="24"/>
          <w:szCs w:val="24"/>
        </w:rPr>
        <w:t>1.3 Цель выполнения работ</w:t>
      </w:r>
      <w:bookmarkEnd w:id="5"/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tLeast" w:line="272" w:before="0" w:after="28"/>
        <w:ind w:firstLine="567"/>
        <w:jc w:val="both"/>
        <w:rPr>
          <w:sz w:val="24"/>
          <w:szCs w:val="24"/>
        </w:rPr>
      </w:pPr>
      <w:r>
        <w:rPr>
          <w:rFonts w:eastAsia="Calibri"/>
          <w:i w:val="false"/>
          <w:iCs w:val="false"/>
          <w:sz w:val="24"/>
          <w:szCs w:val="24"/>
        </w:rPr>
        <w:t>Целью работы является восстановление нарушенного благоустройства после аварийных порывов.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ind w:hanging="0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Heading1"/>
        <w:rPr>
          <w:sz w:val="24"/>
          <w:szCs w:val="24"/>
        </w:rPr>
      </w:pPr>
      <w:bookmarkStart w:id="6" w:name="_Toc157784545"/>
      <w:bookmarkStart w:id="7" w:name="_Toc54646400"/>
      <w:r>
        <w:rPr>
          <w:sz w:val="24"/>
          <w:szCs w:val="24"/>
        </w:rPr>
        <w:t>Таблица 1. Перечень объектов заказчика</w:t>
      </w:r>
      <w:bookmarkEnd w:id="6"/>
      <w:bookmarkEnd w:id="7"/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75"/>
        <w:gridCol w:w="3005"/>
        <w:gridCol w:w="2380"/>
        <w:gridCol w:w="2267"/>
        <w:gridCol w:w="1704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bookmarkStart w:id="8" w:name="_Toc157784546"/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средства (в отношении которого выполняются работы)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1508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Восстановление нарушенного благоустройства после аварийных порывов в г. Хабаровск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Теплотрассы находящиеся на балансе СП «ХТС», город Хабаровск.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Теплотрассы находящиеся на балансе СП «ХТС», город Хабаровск.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i w:val="false"/>
                <w:iCs w:val="false"/>
                <w:sz w:val="24"/>
                <w:szCs w:val="24"/>
              </w:rPr>
              <w:t>Ремонт тепловых камер и колодцев в г. Хабаровск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Теплотрассы находящиеся на балансе СП «ХТС», город Хабаровск.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Теплотрассы находящиеся на балансе СП «ХТС», город Хабаровск.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bookmarkStart w:id="9" w:name="_Hlk49857604"/>
      <w:bookmarkStart w:id="10" w:name="_Toc46743509"/>
      <w:r>
        <w:rPr>
          <w:sz w:val="24"/>
          <w:szCs w:val="24"/>
        </w:rPr>
        <w:t xml:space="preserve">Информация в отношении исполнения договора, </w:t>
      </w:r>
      <w:bookmarkStart w:id="11" w:name="_Hlk46492347"/>
      <w:r>
        <w:rPr>
          <w:sz w:val="24"/>
          <w:szCs w:val="24"/>
        </w:rPr>
        <w:t xml:space="preserve">которая должна быть учтена при подготовке заявки </w:t>
      </w:r>
      <w:bookmarkEnd w:id="11"/>
      <w:r>
        <w:rPr>
          <w:sz w:val="24"/>
          <w:szCs w:val="24"/>
        </w:rPr>
        <w:t>(в том числе перечень ресурсов, услуг и документов, предоставляемых заказчиком на этапе исполнения договора)</w:t>
      </w:r>
      <w:bookmarkEnd w:id="8"/>
      <w:bookmarkEnd w:id="9"/>
      <w:bookmarkEnd w:id="10"/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120" w:after="120"/>
        <w:ind w:firstLine="567"/>
        <w:jc w:val="both"/>
        <w:rPr>
          <w:sz w:val="24"/>
          <w:szCs w:val="24"/>
        </w:rPr>
      </w:pPr>
      <w:r>
        <w:rPr>
          <w:rFonts w:eastAsia="Tahoma" w:cs="Lohit Devanagari"/>
          <w:sz w:val="24"/>
          <w:szCs w:val="24"/>
        </w:rPr>
        <w:t>После письменного запроса Подрядчика Заказчик предоставляет техническую и иную документацию, содержащую исходные данные для выполнения Подрядчиком Работ.</w:t>
      </w:r>
    </w:p>
    <w:p>
      <w:pPr>
        <w:pStyle w:val="Normal"/>
        <w:spacing w:lineRule="auto" w:line="259" w:before="0" w:after="16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br w:type="page"/>
      </w:r>
    </w:p>
    <w:p>
      <w:pPr>
        <w:pStyle w:val="Heading1"/>
        <w:rPr>
          <w:sz w:val="24"/>
          <w:szCs w:val="24"/>
        </w:rPr>
      </w:pPr>
      <w:bookmarkStart w:id="12" w:name="_Toc157784547"/>
      <w:r>
        <w:rPr>
          <w:sz w:val="24"/>
          <w:szCs w:val="24"/>
        </w:rPr>
        <w:t>2. Требования к продукции</w:t>
      </w:r>
      <w:bookmarkEnd w:id="12"/>
    </w:p>
    <w:p>
      <w:pPr>
        <w:pStyle w:val="Heading2"/>
        <w:rPr>
          <w:sz w:val="24"/>
          <w:szCs w:val="24"/>
        </w:rPr>
      </w:pPr>
      <w:bookmarkStart w:id="13" w:name="_Toc157784548"/>
      <w:r>
        <w:rPr>
          <w:sz w:val="24"/>
          <w:szCs w:val="24"/>
        </w:rPr>
        <w:t>2.1 Требования к объемам и срокам выполнения работ</w:t>
      </w:r>
      <w:bookmarkEnd w:id="13"/>
    </w:p>
    <w:p>
      <w:pPr>
        <w:pStyle w:val="Heading3"/>
        <w:rPr>
          <w:sz w:val="24"/>
          <w:szCs w:val="24"/>
        </w:rPr>
      </w:pPr>
      <w:bookmarkStart w:id="14" w:name="_Toc157784549"/>
      <w:bookmarkStart w:id="15" w:name="_Toc54646405"/>
      <w:r>
        <w:rPr>
          <w:sz w:val="24"/>
          <w:szCs w:val="24"/>
        </w:rPr>
        <w:t>2.1.1 Требования к видам и объемам работ</w:t>
      </w:r>
      <w:bookmarkEnd w:id="14"/>
      <w:bookmarkEnd w:id="15"/>
    </w:p>
    <w:p>
      <w:pPr>
        <w:pStyle w:val="Heading1"/>
        <w:rPr>
          <w:sz w:val="24"/>
          <w:szCs w:val="24"/>
        </w:rPr>
      </w:pPr>
      <w:bookmarkStart w:id="16" w:name="_Toc157784550"/>
      <w:r>
        <w:rPr>
          <w:sz w:val="24"/>
          <w:szCs w:val="24"/>
        </w:rPr>
        <w:t>Таблица 2. Перечень и объем выполняемых работ</w:t>
      </w:r>
      <w:bookmarkEnd w:id="16"/>
    </w:p>
    <w:tbl>
      <w:tblPr>
        <w:tblW w:w="981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7"/>
        <w:gridCol w:w="5131"/>
        <w:gridCol w:w="1986"/>
        <w:gridCol w:w="2125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Работы по восстановлению нарушенного благоустройства после аварийных порывов в г. Хабаровск</w:t>
            </w:r>
            <w:r>
              <w:rPr>
                <w:i w:val="false"/>
                <w:iCs w:val="false"/>
                <w:sz w:val="24"/>
                <w:szCs w:val="24"/>
                <w:highlight w:val="white"/>
              </w:rPr>
              <w:t xml:space="preserve"> в соответствии с ведомостью объемов работ (Приложение № 1 к ТТ)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 соответствии с ведомостью объемов работ (Приложение № 1 к настоящим Техническим требованиям)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 xml:space="preserve">Работы по ремонту тепловых камер и колодцев в г. Хабаровск </w:t>
            </w:r>
            <w:r>
              <w:rPr>
                <w:i w:val="false"/>
                <w:iCs w:val="false"/>
                <w:sz w:val="24"/>
                <w:szCs w:val="24"/>
                <w:highlight w:val="white"/>
              </w:rPr>
              <w:t>в соответствии с ведомостью объемов работ (Приложение № 1 к ТТ)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 соответствии с ведомостью объемов работ (Приложение № 1 к настоящим Техническим требованиям)</w:t>
            </w:r>
          </w:p>
        </w:tc>
      </w:tr>
    </w:tbl>
    <w:p>
      <w:pPr>
        <w:pStyle w:val="ListParagraph"/>
        <w:spacing w:lineRule="auto" w:line="360"/>
        <w:ind w:left="1614" w:firstLine="652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Heading3"/>
        <w:rPr>
          <w:sz w:val="24"/>
          <w:szCs w:val="24"/>
        </w:rPr>
      </w:pPr>
      <w:bookmarkStart w:id="17" w:name="_Toc157784551"/>
      <w:r>
        <w:rPr>
          <w:sz w:val="24"/>
          <w:szCs w:val="24"/>
        </w:rPr>
        <w:t>2.1.2 Требования к срокам выполнения работ</w:t>
      </w:r>
      <w:bookmarkEnd w:id="17"/>
    </w:p>
    <w:p>
      <w:pPr>
        <w:pStyle w:val="Heading1"/>
        <w:rPr>
          <w:sz w:val="24"/>
          <w:szCs w:val="24"/>
        </w:rPr>
      </w:pPr>
      <w:bookmarkStart w:id="18" w:name="_Toc157784552"/>
      <w:bookmarkStart w:id="19" w:name="_Toc54646408"/>
      <w:bookmarkStart w:id="20" w:name="_Toc51339697"/>
      <w:bookmarkStart w:id="21" w:name="_Toc50125127"/>
      <w:r>
        <w:rPr>
          <w:sz w:val="24"/>
          <w:szCs w:val="24"/>
        </w:rPr>
        <w:t xml:space="preserve">Таблица 3. </w:t>
      </w:r>
      <w:bookmarkStart w:id="22" w:name="_Hlk50465284"/>
      <w:r>
        <w:rPr>
          <w:sz w:val="24"/>
          <w:szCs w:val="24"/>
        </w:rPr>
        <w:t xml:space="preserve">Требования по срокам </w:t>
      </w:r>
      <w:bookmarkEnd w:id="20"/>
      <w:bookmarkEnd w:id="21"/>
      <w:bookmarkEnd w:id="22"/>
      <w:r>
        <w:rPr>
          <w:sz w:val="24"/>
          <w:szCs w:val="24"/>
        </w:rPr>
        <w:t>выполнения работ</w:t>
      </w:r>
      <w:bookmarkEnd w:id="18"/>
      <w:bookmarkEnd w:id="19"/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17"/>
        <w:gridCol w:w="2863"/>
        <w:gridCol w:w="2978"/>
        <w:gridCol w:w="3117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40"/>
              <w:ind w:left="57" w:right="57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40"/>
              <w:ind w:left="57" w:right="57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459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Выполнение работ по восстановлению нарушенного благоустройства после аварийных порывов.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30.11.2027</w:t>
            </w:r>
          </w:p>
        </w:tc>
      </w:tr>
      <w:tr>
        <w:trPr>
          <w:trHeight w:val="1345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Выполнение работ по ремонту тепловых камер и колодцев в г. Хабаровск.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 даты заключения Договора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30.11.2027</w:t>
            </w:r>
          </w:p>
        </w:tc>
      </w:tr>
    </w:tbl>
    <w:p>
      <w:pPr>
        <w:sectPr>
          <w:footerReference w:type="default" r:id="rId2"/>
          <w:type w:val="nextPage"/>
          <w:pgSz w:w="11906" w:h="16838"/>
          <w:pgMar w:left="1134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ListParagraph"/>
        <w:spacing w:lineRule="auto" w:line="360"/>
        <w:ind w:left="1614" w:firstLine="652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360"/>
        <w:ind w:left="567" w:hanging="56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60"/>
        <w:ind w:left="567" w:hanging="56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2"/>
        <w:rPr>
          <w:sz w:val="24"/>
          <w:szCs w:val="24"/>
        </w:rPr>
      </w:pPr>
      <w:bookmarkStart w:id="23" w:name="_Toc157784553"/>
      <w:r>
        <w:rPr>
          <w:sz w:val="24"/>
          <w:szCs w:val="24"/>
        </w:rPr>
        <w:t>2.2 Требования к качеству работ</w:t>
      </w:r>
      <w:bookmarkEnd w:id="23"/>
    </w:p>
    <w:p>
      <w:pPr>
        <w:pStyle w:val="Heading1"/>
        <w:rPr>
          <w:sz w:val="24"/>
          <w:szCs w:val="24"/>
        </w:rPr>
      </w:pPr>
      <w:bookmarkStart w:id="24" w:name="_Toc157784554"/>
      <w:r>
        <w:rPr>
          <w:sz w:val="24"/>
          <w:szCs w:val="24"/>
        </w:rPr>
        <w:t>Таблица 4. Требования к качеству работ</w:t>
      </w:r>
      <w:bookmarkEnd w:id="24"/>
    </w:p>
    <w:p>
      <w:pPr>
        <w:pStyle w:val="Normal"/>
        <w:spacing w:lineRule="auto" w:line="240" w:before="60" w:after="60"/>
        <w:ind w:right="-108" w:hanging="0"/>
        <w:jc w:val="left"/>
        <w:rPr>
          <w:sz w:val="24"/>
          <w:szCs w:val="24"/>
        </w:rPr>
      </w:pPr>
      <w:r>
        <w:rPr>
          <w:sz w:val="24"/>
          <w:szCs w:val="24"/>
        </w:rPr>
        <w:t>Наименование работ/этапа работ:</w:t>
      </w:r>
      <w:r>
        <w:rPr>
          <w:rFonts w:eastAsia="Calibri"/>
          <w:bCs/>
          <w:sz w:val="24"/>
          <w:szCs w:val="24"/>
        </w:rPr>
        <w:t xml:space="preserve"> </w:t>
      </w:r>
      <w:r>
        <w:rPr>
          <w:i w:val="false"/>
          <w:iCs w:val="false"/>
          <w:color w:val="1D2228"/>
          <w:sz w:val="24"/>
          <w:szCs w:val="24"/>
          <w:shd w:fill="FFFFFF" w:val="clear"/>
        </w:rPr>
        <w:t>ОКПД2 42.11.20 Выполнение работ по восстановлению нарушенного благоустройства после устранения аварийных порывов на теплотрассах, ремонт тепловых камер, для СП «ХТС» г. Хабаровск (ПП: 10.3-Рем-2022-ХТС)</w:t>
      </w:r>
    </w:p>
    <w:p>
      <w:pPr>
        <w:pStyle w:val="Normal"/>
        <w:tabs>
          <w:tab w:val="clear" w:pos="709"/>
          <w:tab w:val="left" w:pos="3002" w:leader="none"/>
        </w:tabs>
        <w:ind w:hanging="0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tbl>
      <w:tblPr>
        <w:tblStyle w:val="971"/>
        <w:tblW w:w="1471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10"/>
        <w:gridCol w:w="2980"/>
        <w:gridCol w:w="1815"/>
        <w:gridCol w:w="4956"/>
        <w:gridCol w:w="2125"/>
        <w:gridCol w:w="2128"/>
      </w:tblGrid>
      <w:tr>
        <w:trPr/>
        <w:tc>
          <w:tcPr>
            <w:tcW w:w="71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298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Наименование параметра</w:t>
            </w:r>
          </w:p>
        </w:tc>
        <w:tc>
          <w:tcPr>
            <w:tcW w:w="6771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Требование заказчика</w:t>
            </w:r>
          </w:p>
        </w:tc>
        <w:tc>
          <w:tcPr>
            <w:tcW w:w="4253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71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left"/>
              <w:rPr>
                <w:b/>
                <w:bCs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left"/>
              <w:rPr>
                <w:b/>
                <w:bCs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771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left"/>
              <w:rPr>
                <w:b/>
                <w:bCs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требованием/ указание характеристик</w:t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2980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6771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5</w:t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60" w:after="60"/>
              <w:ind w:left="289" w:hanging="142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751" w:type="dxa"/>
            <w:gridSpan w:val="3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выполнению работ</w:t>
            </w:r>
          </w:p>
        </w:tc>
        <w:tc>
          <w:tcPr>
            <w:tcW w:w="2125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before="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</w:p>
        </w:tc>
        <w:tc>
          <w:tcPr>
            <w:tcW w:w="2128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before="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751" w:type="dxa"/>
            <w:gridSpan w:val="3"/>
            <w:tcBorders/>
            <w:vAlign w:val="center"/>
          </w:tcPr>
          <w:p>
            <w:pPr>
              <w:pStyle w:val="Normal"/>
              <w:widowControl/>
              <w:spacing w:before="60" w:after="6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Общие требования к выполнению работ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2"/>
                <w:numId w:val="1"/>
              </w:numPr>
              <w:spacing w:lineRule="auto" w:line="240" w:before="60" w:after="60"/>
              <w:ind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tcBorders/>
            <w:shd w:color="auto" w:fill="auto" w:val="clear"/>
          </w:tcPr>
          <w:p>
            <w:pPr>
              <w:pStyle w:val="Normal"/>
              <w:widowControl/>
              <w:spacing w:before="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6771" w:type="dxa"/>
            <w:gridSpan w:val="2"/>
            <w:tcBorders/>
            <w:shd w:color="auto" w:fill="auto" w:val="clear"/>
          </w:tcPr>
          <w:p>
            <w:pPr>
              <w:pStyle w:val="Normal"/>
              <w:widowControl/>
              <w:spacing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СП 124.13330.2012 актуализированная редакция «СНиП 41-02-2003 Тепловые сети» ред. от 20.11.2019;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СО 34.04.181-2003 «Правила организации, технического обслуживания и ремонта оборудования, зданий и сооружений электростанций и сетей».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СП 78.13330.2012. Свод правил. Автомобильные дороги. Актуализированная редакция СНиП 3.06.03-85 (утв. Приказом Минрегиона России от 16.12.2016 г. №988);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СП 34.13330.2021 «Свод правил. Автомобильные дороги».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Методические рекомендации по ремонту и содержанию автомобильных дорог общего пользования (приняты и введены в действие Письмом Росавтодора от 17.03.2004 г. №ОС-28/1270-ис);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ОДМ 218.6.019-2016 Отраслевой дорожный методический документ. Рекомендации по организации движения и ограждению мест производства дорожных работ (издан на основании Распоряжения Росавтодора от 02.03.2016 N 303-р);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Правила благоустройства городского округа «Город Хабаровск» (с изменениями на 22 сентября 2020 года) решением Хабаровской городской думы от 17 октября 2017 года N 677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СП 48.13330.2019 «Организация строительства» Работы на объекте.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СП 68.13330.2017 «Приемка в эксплуатацию законченных строительством объектов. Основные положения» (с Изм. N 1);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Положением об организации контроля и приемке выполненных работ на ремонтируемых объектах, объектах модернизации, реконструкции и технического перевооружения- 21-003-2019.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Техническими условиями, проектами производства работ, чертежами и другими руководящими документами.</w:t>
            </w:r>
          </w:p>
          <w:p>
            <w:pPr>
              <w:pStyle w:val="Normal"/>
              <w:widowControl/>
              <w:spacing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5" w:type="dxa"/>
            <w:vMerge w:val="continue"/>
            <w:tcBorders/>
            <w:shd w:color="auto" w:fill="auto" w:val="clear"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751" w:type="dxa"/>
            <w:gridSpan w:val="3"/>
            <w:tcBorders/>
            <w:vAlign w:val="center"/>
          </w:tcPr>
          <w:p>
            <w:pPr>
              <w:pStyle w:val="Normal"/>
              <w:widowControl/>
              <w:spacing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организации работ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ind w:hanging="0"/>
              <w:contextualSpacing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  <w:t>1.2.1</w:t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left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left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 xml:space="preserve">Допуск персонала подрядчика для выполнения работ должен осуществляться в соответствии с Положением о допуске персонала подрядных организаций к выполнению работ на объектах АО «ДГК» </w:t>
            </w:r>
            <w:r>
              <w:rPr>
                <w:kern w:val="0"/>
                <w:sz w:val="24"/>
                <w:szCs w:val="24"/>
                <w:lang w:val="ru-RU" w:bidi="ar-SA"/>
              </w:rPr>
              <w:t>22.1-504-202</w:t>
            </w:r>
            <w:r>
              <w:rPr>
                <w:kern w:val="0"/>
                <w:sz w:val="24"/>
                <w:szCs w:val="24"/>
                <w:lang w:val="en-US" w:bidi="ar-SA"/>
              </w:rPr>
              <w:t>6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 xml:space="preserve"> утв. Приказом АО «ДГК» от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22.07.2026 № П-ДГК/649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(Приложение № 5 к настоящим ТТ) с обязательным оформлением необходимых нарядов-допусков.</w:t>
            </w:r>
          </w:p>
          <w:p>
            <w:pPr>
              <w:pStyle w:val="Normal"/>
              <w:widowControl/>
              <w:spacing w:lineRule="auto" w:line="276"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bidi="ar-SA"/>
              </w:rPr>
              <w:t>Подготовку рабочих мест и допуск к выполнению работ выполняет персонал Заказчика.</w:t>
            </w:r>
          </w:p>
          <w:p>
            <w:pPr>
              <w:pStyle w:val="Normal"/>
              <w:widowControl/>
              <w:spacing w:before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253" w:hRule="atLeast"/>
        </w:trPr>
        <w:tc>
          <w:tcPr>
            <w:tcW w:w="710" w:type="dxa"/>
            <w:tcBorders>
              <w:bottom w:val="nil"/>
            </w:tcBorders>
            <w:vAlign w:val="center"/>
          </w:tcPr>
          <w:p>
            <w:pPr>
              <w:pStyle w:val="Normal"/>
              <w:widowControl/>
              <w:spacing w:before="60" w:after="60"/>
              <w:ind w:hanging="0"/>
              <w:contextualSpacing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  <w:t>1.2.2</w:t>
            </w:r>
          </w:p>
        </w:tc>
        <w:tc>
          <w:tcPr>
            <w:tcW w:w="2980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Требования к организации процесса выполнения работ</w:t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76" w:before="6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Предоставить до начала работ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Работ.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>
              <w:top w:val="nil"/>
              <w:bottom w:val="nil"/>
            </w:tcBorders>
            <w:vAlign w:val="center"/>
          </w:tcPr>
          <w:p>
            <w:pPr>
              <w:pStyle w:val="Normal"/>
              <w:widowControl/>
              <w:numPr>
                <w:ilvl w:val="2"/>
                <w:numId w:val="1"/>
              </w:numPr>
              <w:spacing w:lineRule="auto" w:line="240" w:before="60" w:after="60"/>
              <w:ind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76" w:before="6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Предоставить до начала работ 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numPr>
                <w:ilvl w:val="2"/>
                <w:numId w:val="1"/>
              </w:numPr>
              <w:spacing w:lineRule="auto" w:line="240" w:before="60" w:after="60"/>
              <w:ind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/>
              <w:shd w:val="clear" w:color="auto" w:fill="FFFFFF"/>
              <w:tabs>
                <w:tab w:val="clear" w:pos="709"/>
                <w:tab w:val="left" w:pos="1276" w:leader="none"/>
                <w:tab w:val="left" w:pos="1418" w:leader="none"/>
              </w:tabs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highlight w:val="white"/>
                <w:lang w:val="ru-RU" w:bidi="ar-SA"/>
              </w:rPr>
              <w:t>В течение 5 (пяти) календарных дней с даты заключения Договора предоставить Заказчику на согласование Проект Производства Работ (ППР) с указанием общих методов и технологии работ, организационных вопросов.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1558" w:hRule="atLeast"/>
        </w:trPr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76" w:before="60" w:after="0"/>
              <w:ind w:hanging="0"/>
              <w:jc w:val="both"/>
              <w:rPr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  <w:t>Комплекс организационно–технических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работ, оптимальное расходование материально-технических и трудовые ресурсов.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76" w:before="60" w:after="0"/>
              <w:ind w:hanging="0"/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color w:val="000000" w:themeColor="text1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76" w:before="6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highlight w:val="white"/>
                <w:lang w:val="ru-RU" w:bidi="ar-SA"/>
              </w:rPr>
              <w:t>В случае конструктивных изменений по факту демонтажа/монтажа при скрытых работах изменения объемов работ, предусмотренных ведомостью объемов работ (Приложение № 1 к настоящим ТТ), оформляются в соответствии с требова</w:t>
            </w:r>
            <w:r>
              <w:rPr>
                <w:color w:val="000000" w:themeColor="text1"/>
                <w:kern w:val="0"/>
                <w:sz w:val="24"/>
                <w:szCs w:val="24"/>
                <w:highlight w:val="white"/>
                <w:lang w:val="ru-RU" w:bidi="ar-SA"/>
              </w:rPr>
              <w:t xml:space="preserve">ниями Правил ТОиР </w:t>
            </w:r>
            <w:r>
              <w:rPr>
                <w:color w:val="000000" w:themeColor="text1"/>
                <w:kern w:val="0"/>
                <w:sz w:val="24"/>
                <w:szCs w:val="24"/>
                <w:lang w:val="ru-RU" w:bidi="ar-SA"/>
              </w:rPr>
              <w:t xml:space="preserve">(Приказ Минэнерго России от 25.10.2017 № 1013) </w:t>
            </w:r>
            <w:r>
              <w:rPr>
                <w:color w:val="000000" w:themeColor="text1"/>
                <w:kern w:val="0"/>
                <w:sz w:val="24"/>
                <w:szCs w:val="24"/>
                <w:highlight w:val="white"/>
                <w:lang w:val="ru-RU" w:bidi="ar-SA"/>
              </w:rPr>
              <w:t>(ведомостью дополнительных работ и протоколом исключения работ из ведомости планируемых работ), согласовываются с Подрядчиком и утверждаются техническим руководителем структурного подразделения, ответственного за непосредственную эксплуатацию производственного объекта. В соответствии с согласованными изменениями объемов работ, заключается дополнительное соглашение.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415" w:hRule="atLeast"/>
        </w:trPr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75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6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используемым материалам, контролю качества работ и материалов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9920" w:hRule="atLeast"/>
        </w:trPr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2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Требования к используемым материально – техническим ресурсам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60" w:after="0"/>
              <w:ind w:hanging="0"/>
              <w:jc w:val="left"/>
              <w:rPr>
                <w:bCs/>
                <w:i w:val="false"/>
                <w:i w:val="false"/>
                <w:iCs w:val="false"/>
                <w:color w:val="FF0000"/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i w:val="false"/>
                <w:iCs w:val="false"/>
                <w:color w:val="FF0000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 xml:space="preserve">Материалы, необходимые для выполнения работ, приобретаются Подрядчиком самостоятельно в соответствии с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Постановлением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а также согласно </w:t>
            </w:r>
            <w:r>
              <w:rPr>
                <w:kern w:val="0"/>
                <w:sz w:val="24"/>
                <w:szCs w:val="24"/>
                <w:highlight w:val="white"/>
                <w:lang w:val="ru-RU" w:bidi="ar-SA"/>
              </w:rPr>
              <w:t>Приложени</w:t>
            </w:r>
            <w:r>
              <w:rPr>
                <w:bCs/>
                <w:kern w:val="0"/>
                <w:sz w:val="24"/>
                <w:szCs w:val="24"/>
                <w:highlight w:val="white"/>
                <w:lang w:val="ru-RU" w:bidi="ar-SA"/>
              </w:rPr>
              <w:t>ю № 2 к настоящим Техническим требованиям.</w:t>
            </w:r>
          </w:p>
          <w:p>
            <w:pPr>
              <w:pStyle w:val="Normal"/>
              <w:widowControl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highlight w:val="white"/>
                <w:lang w:val="ru-RU" w:bidi="ar-SA"/>
              </w:rPr>
            </w:pPr>
            <w:r>
              <w:rPr>
                <w:kern w:val="0"/>
                <w:sz w:val="24"/>
                <w:szCs w:val="24"/>
                <w:highlight w:val="white"/>
                <w:lang w:val="ru-RU" w:bidi="ar-SA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Все применяемые материалы должны быть новыми и не использованными ранее, без повреждений.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</w:t>
            </w:r>
            <w:r>
              <w:rPr>
                <w:kern w:val="0"/>
                <w:sz w:val="24"/>
                <w:szCs w:val="24"/>
                <w:highlight w:val="white"/>
                <w:lang w:val="ru-RU" w:bidi="ar-SA"/>
              </w:rPr>
              <w:t>одрядчиком в работе могут быть применены эквивалентные материалы*, которые должны быть предварительно согласованы с Заказчиком письменно.</w:t>
            </w:r>
          </w:p>
          <w:p>
            <w:pPr>
              <w:pStyle w:val="Normal"/>
              <w:widowControl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highlight w:val="white"/>
                <w:lang w:val="ru-RU" w:bidi="ar-SA"/>
              </w:rPr>
            </w:pPr>
            <w:r>
              <w:rPr>
                <w:kern w:val="0"/>
                <w:sz w:val="24"/>
                <w:szCs w:val="24"/>
                <w:highlight w:val="white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highlight w:val="white"/>
                <w:lang w:val="ru-RU" w:bidi="ar-SA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Ведомости материалов </w:t>
            </w:r>
            <w:r>
              <w:rPr>
                <w:b w:val="false"/>
                <w:bCs w:val="false"/>
                <w:kern w:val="0"/>
                <w:sz w:val="24"/>
                <w:szCs w:val="24"/>
                <w:highlight w:val="white"/>
                <w:lang w:val="ru-RU" w:bidi="ar-SA"/>
              </w:rPr>
              <w:t xml:space="preserve"> приобретаемых Подрядчиком</w:t>
            </w:r>
            <w:r>
              <w:rPr>
                <w:kern w:val="0"/>
                <w:sz w:val="24"/>
                <w:szCs w:val="24"/>
                <w:highlight w:val="white"/>
                <w:lang w:val="ru-RU" w:bidi="ar-SA"/>
              </w:rPr>
              <w:t xml:space="preserve"> (Приложение № 2 к настоящим ТТ), а также Ведомости объемов работ (Приложение № 1 к настоящим ТТ), будет применяться эквивалентная продукция*, Подрядчик принимает на себя все затраты по внесению соответствующих изменений в проектную и сметную документацию, а также согласованию ее с Заказчиком без увеличения общей стоимости по Договору.</w:t>
            </w:r>
          </w:p>
          <w:p>
            <w:pPr>
              <w:pStyle w:val="Normal"/>
              <w:widowControl/>
              <w:spacing w:lineRule="auto" w:line="276" w:before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/>
                <w:kern w:val="0"/>
                <w:sz w:val="24"/>
                <w:szCs w:val="24"/>
                <w:highlight w:val="white"/>
                <w:lang w:val="ru-RU" w:bidi="ar-SA"/>
              </w:rPr>
              <w:t>* Эквивалентная продукция - это продукция, которая по техническим и функциональным характеристикам не уступает характеристикам, указанных в перечне м</w:t>
            </w:r>
            <w:r>
              <w:rPr>
                <w:i/>
                <w:kern w:val="0"/>
                <w:sz w:val="24"/>
                <w:szCs w:val="24"/>
                <w:lang w:val="ru-RU" w:bidi="ar-SA"/>
              </w:rPr>
              <w:t>атериалов Подрядчика и технической документации.</w:t>
            </w:r>
          </w:p>
          <w:p>
            <w:pPr>
              <w:pStyle w:val="Normal"/>
              <w:widowControl/>
              <w:spacing w:before="0" w:after="0"/>
              <w:ind w:hanging="0"/>
              <w:jc w:val="both"/>
              <w:rPr>
                <w:bCs/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2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Контроль качества используемых запасных частей и материалов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/>
              <w:spacing w:lineRule="auto" w:line="276" w:before="0" w:afterAutospacing="0" w:after="0"/>
              <w:ind w:left="0" w:right="0" w:hanging="0"/>
              <w:jc w:val="both"/>
              <w:rPr>
                <w:bCs w:val="false"/>
                <w:i w:val="false"/>
                <w:i w:val="false"/>
                <w:kern w:val="0"/>
                <w:sz w:val="24"/>
                <w:szCs w:val="24"/>
                <w:highlight w:val="none"/>
                <w:lang w:val="ru-RU" w:bidi="ar-SA"/>
              </w:rPr>
            </w:pPr>
            <w:r>
              <w:rPr>
                <w:bCs w:val="false"/>
                <w:i w:val="false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Руководители работ Подрядчика совместно с представителями Заказчика, осуществляют входной контроль качества применяемых материалов и запасных частей.</w:t>
            </w:r>
          </w:p>
          <w:p>
            <w:pPr>
              <w:pStyle w:val="Normal"/>
              <w:widowControl/>
              <w:spacing w:lineRule="auto" w:line="276" w:before="0" w:afterAutospacing="0" w:after="0"/>
              <w:ind w:left="0" w:right="0" w:hanging="0"/>
              <w:jc w:val="both"/>
              <w:rPr>
                <w:bCs/>
                <w:i/>
                <w:i/>
                <w:kern w:val="0"/>
                <w:sz w:val="24"/>
                <w:szCs w:val="24"/>
                <w:highlight w:val="white"/>
                <w:lang w:val="ru-RU" w:bidi="ar-SA"/>
              </w:rPr>
            </w:pPr>
            <w:r>
              <w:rPr>
                <w:bCs/>
                <w:i/>
                <w:kern w:val="0"/>
                <w:sz w:val="24"/>
                <w:szCs w:val="24"/>
                <w:highlight w:val="white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Материалы Подрядчика должны иметь сертификаты, паспорта и другие документы, подтверждающие их качество.</w:t>
            </w:r>
          </w:p>
          <w:p>
            <w:pPr>
              <w:pStyle w:val="Normal"/>
              <w:widowControl/>
              <w:spacing w:lineRule="auto" w:line="276" w:before="0" w:afterAutospacing="0" w:after="0"/>
              <w:ind w:left="0" w:right="0" w:hanging="0"/>
              <w:jc w:val="both"/>
              <w:rPr>
                <w:bCs/>
                <w:i/>
                <w:i/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При осуществлении Подрядчиком входного контроля качества материально-технических ресурсов, поступивших на место производства работ, обязательно наличие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</w:t>
            </w:r>
          </w:p>
          <w:p>
            <w:pPr>
              <w:pStyle w:val="Normal"/>
              <w:widowControl/>
              <w:spacing w:before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2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Контроль качества работ</w:t>
            </w:r>
          </w:p>
          <w:p>
            <w:pPr>
              <w:pStyle w:val="Normal"/>
              <w:widowControl/>
              <w:spacing w:before="0" w:after="0"/>
              <w:ind w:left="0" w:right="0"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/>
              <w:spacing w:lineRule="auto" w:line="276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В соответствии с законом </w:t>
            </w:r>
            <w:r>
              <w:rPr>
                <w:color w:val="000000" w:themeColor="text1"/>
                <w:kern w:val="0"/>
                <w:sz w:val="24"/>
                <w:szCs w:val="24"/>
                <w:highlight w:val="white"/>
                <w:lang w:val="ru-RU" w:bidi="ar-SA"/>
              </w:rPr>
              <w:t xml:space="preserve">от 27.12.2002 г 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№ 184-ФЗ «О техническом регулировании» Подрядчик принимает на себя добровольное обязательство о соблюдении требований правил, технических условий, ГОСТ, ПУЭ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</w:t>
            </w:r>
          </w:p>
          <w:p>
            <w:pPr>
              <w:pStyle w:val="Normal"/>
              <w:widowControl/>
              <w:spacing w:lineRule="auto" w:line="276" w:before="0" w:afterAutospacing="0" w:after="0"/>
              <w:ind w:left="0" w:right="0" w:hanging="0"/>
              <w:jc w:val="both"/>
              <w:rPr>
                <w:bCs w:val="false"/>
                <w:i w:val="false"/>
                <w:i w:val="false"/>
                <w:kern w:val="0"/>
                <w:sz w:val="24"/>
                <w:szCs w:val="24"/>
                <w:lang w:val="ru-RU" w:bidi="ar-SA"/>
              </w:rPr>
            </w:pPr>
            <w:r>
              <w:rPr>
                <w:bCs w:val="false"/>
                <w:i w:val="false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Руководители работ Подрядчика, участвующие в выполнении работ совместно с представителями Заказчика, проводят оперативный контроль качества выполняемых ремонтных работ, проверяют соблюдение технологической дисциплины.</w:t>
            </w:r>
          </w:p>
          <w:p>
            <w:pPr>
              <w:pStyle w:val="Normal"/>
              <w:widowControl/>
              <w:spacing w:lineRule="auto" w:line="276" w:before="0" w:afterAutospacing="0" w:after="0"/>
              <w:ind w:left="0" w:right="0" w:hanging="0"/>
              <w:jc w:val="both"/>
              <w:rPr>
                <w:bCs/>
                <w:i/>
                <w:i/>
                <w:kern w:val="0"/>
                <w:sz w:val="24"/>
                <w:szCs w:val="24"/>
                <w:highlight w:val="yellow"/>
                <w:lang w:val="ru-RU" w:bidi="ar-SA"/>
              </w:rPr>
            </w:pPr>
            <w:r>
              <w:rPr>
                <w:bCs/>
                <w:i/>
                <w:kern w:val="0"/>
                <w:sz w:val="24"/>
                <w:szCs w:val="24"/>
                <w:highlight w:val="yellow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Требования к контролю качества работ подробно указаны в проекте договора (в том числе в разделе № 2) (Приложение №2 к Документации о закупке).</w:t>
            </w:r>
          </w:p>
          <w:p>
            <w:pPr>
              <w:pStyle w:val="Normal"/>
              <w:widowControl/>
              <w:spacing w:before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Cs/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Cs/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751" w:type="dxa"/>
            <w:gridSpan w:val="3"/>
            <w:tcBorders/>
          </w:tcPr>
          <w:p>
            <w:pPr>
              <w:pStyle w:val="Normal"/>
              <w:widowControl/>
              <w:spacing w:before="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персоналу Подрядчика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2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Квалификация персонала подрядчика, привлекаемого к выполнению работ</w:t>
            </w:r>
          </w:p>
          <w:p>
            <w:pPr>
              <w:pStyle w:val="Normal"/>
              <w:widowControl/>
              <w:spacing w:before="0" w:after="0"/>
              <w:ind w:left="0" w:right="0"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/>
              <w:spacing w:lineRule="auto" w:line="276" w:beforeAutospacing="0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Подрядчик должен: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9"/>
                <w:tab w:val="left" w:pos="567" w:leader="none"/>
              </w:tabs>
              <w:spacing w:lineRule="auto" w:line="276" w:before="6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9"/>
                <w:tab w:val="left" w:pos="567" w:leader="none"/>
              </w:tabs>
              <w:spacing w:lineRule="auto" w:line="276" w:before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располагать </w:t>
            </w:r>
            <w:r>
              <w:rPr>
                <w:bCs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бригадой, 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достаточным количеством аттестованного персонала, организованного по принципу комплексных специализированных бригад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 xml:space="preserve"> (оформленных в соответствии с Гражданским Кодексом Российской Федерации или привлекаемых по трудовым либо гражданско-правовым договорам, либо планируемых к привлечению, в том числе по договорам субподряда)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иметь минимально необходимое для выполнения работ количество квалифицированного персонала (оформленного в соответствии с Гражда</w:t>
            </w:r>
            <w:r>
              <w:rPr>
                <w:rFonts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нским Кодексом Российской Федерации или привлекаемого по трудовым либо гражданско-правовым договорам, либо планируемого к привлечению, в том числе по договорам субподряда).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До начала проведения работ в рамках исполнения договора после его заключения подрядчик предоставляет: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9"/>
                <w:tab w:val="left" w:pos="567" w:leader="none"/>
                <w:tab w:val="left" w:pos="3685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сварочных, грузоподъемных, работ с электро - и пневмоинструментом) (возможно совмещение специальностей);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  <w:tab w:val="left" w:pos="3685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bCs/>
                <w:i/>
                <w:i/>
                <w:kern w:val="0"/>
                <w:sz w:val="24"/>
                <w:szCs w:val="24"/>
                <w:highlight w:val="none"/>
                <w:lang w:val="ru-RU" w:bidi="ar-SA"/>
              </w:rPr>
            </w:pPr>
            <w:r>
              <w:rPr>
                <w:bCs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  <w:tab w:val="left" w:pos="3685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Во время выполнения работ команда ИТР Подрядчика должна поддерживать на должном уро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 систему управления работами/работами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 и т.д.).</w:t>
            </w:r>
          </w:p>
          <w:p>
            <w:pPr>
              <w:pStyle w:val="Normal"/>
              <w:widowControl/>
              <w:spacing w:before="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1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751" w:type="dxa"/>
            <w:gridSpan w:val="3"/>
            <w:tcBorders/>
            <w:vAlign w:val="center"/>
          </w:tcPr>
          <w:p>
            <w:pPr>
              <w:pStyle w:val="Normal"/>
              <w:widowControl/>
              <w:spacing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безопасности работ и охране труда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2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Требования к безопасности выполняемых работ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before="0" w:after="0"/>
              <w:ind w:left="0" w:right="125"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/>
              <w:tabs>
                <w:tab w:val="clear" w:pos="709"/>
                <w:tab w:val="left" w:pos="447" w:leader="none"/>
              </w:tabs>
              <w:spacing w:lineRule="auto" w:line="276" w:before="0" w:after="0"/>
              <w:ind w:left="0" w:right="0"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Подрядчик обязан 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>
            <w:pPr>
              <w:pStyle w:val="Normal"/>
              <w:widowControl/>
              <w:tabs>
                <w:tab w:val="clear" w:pos="709"/>
                <w:tab w:val="left" w:pos="447" w:leader="none"/>
              </w:tabs>
              <w:spacing w:lineRule="auto" w:line="276" w:before="0" w:after="0"/>
              <w:ind w:left="0" w:right="0" w:hanging="0"/>
              <w:contextualSpacing/>
              <w:jc w:val="both"/>
              <w:rPr>
                <w:rFonts w:eastAsia="Calibri"/>
                <w:bCs w:val="false"/>
                <w:i w:val="false"/>
                <w:i w:val="false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 w:val="false"/>
                <w:i w:val="false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Подрядчик должен соблюдать требования действующего федерального законодательства Российской Федерации, нормативных правовых актов субъектов Российской Федерации</w:t>
            </w:r>
            <w:r>
              <w:rPr>
                <w:bCs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: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567" w:leader="none"/>
              </w:tabs>
              <w:spacing w:lineRule="auto" w:line="276" w:before="6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СНиП 12-03-2001 «Безопасность труда в строительстве. Часть 1. Общие требования» (приняты и введены в действие Пост. Госстроя РФ от 23.07.2001 г. № 80);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567" w:leader="none"/>
              </w:tabs>
              <w:spacing w:lineRule="auto" w:line="276" w:before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СНиП 12-04-2002 «Безопасность труда в строительстве. Часть 2. Строительное производство» (приняты и введены в действие Пост. Госстроя РФ от 17.09.2002 г. № 123);</w:t>
            </w:r>
          </w:p>
          <w:p>
            <w:pPr>
              <w:pStyle w:val="ListParagraph"/>
              <w:widowControl/>
              <w:numPr>
                <w:ilvl w:val="0"/>
                <w:numId w:val="8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rFonts w:eastAsia="Courier New"/>
                <w:i w:val="false"/>
                <w:iCs w:val="false"/>
                <w:color w:val="000000"/>
                <w:kern w:val="0"/>
                <w:sz w:val="24"/>
                <w:szCs w:val="24"/>
                <w:lang w:val="ru-RU" w:bidi="ru-RU"/>
              </w:rPr>
              <w:t>Правила промышленной безопасности при использовании оборудования, работающего под избыточным давлением, утвержденные приказом Федеральной службы по экологическому, технологическому и атомному надзору от 15.12.2020 г. № 536;</w:t>
            </w:r>
          </w:p>
          <w:p>
            <w:pPr>
              <w:pStyle w:val="ListParagraph"/>
              <w:widowControl/>
              <w:numPr>
                <w:ilvl w:val="0"/>
                <w:numId w:val="8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rFonts w:eastAsia="Courier New"/>
                <w:i w:val="false"/>
                <w:iCs w:val="false"/>
                <w:color w:val="000000"/>
                <w:kern w:val="0"/>
                <w:sz w:val="24"/>
                <w:szCs w:val="24"/>
                <w:lang w:val="ru-RU" w:bidi="ru-RU"/>
              </w:rPr>
              <w:t>Правила безопасности опасных производственных объектов, на которых используются подъемные сооружения, утвержденные приказом Федеральной службы по экологическому и атомному надзору от 26.11.2020 г. № 461;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bCs/>
                <w:i/>
                <w:i/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76" w:beforeAutospacing="0" w:before="0" w:afterAutospacing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</w:p>
          <w:p>
            <w:pPr>
              <w:pStyle w:val="Normal"/>
              <w:widowControl/>
              <w:tabs>
                <w:tab w:val="clear" w:pos="709"/>
                <w:tab w:val="left" w:pos="447" w:leader="none"/>
              </w:tabs>
              <w:spacing w:before="0" w:after="0"/>
              <w:ind w:hanging="0"/>
              <w:contextualSpacing/>
              <w:jc w:val="both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2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lineRule="auto" w:line="240" w:beforeAutospacing="0" w:before="0" w:afterAutospacing="0" w:after="0"/>
              <w:ind w:hanging="0"/>
              <w:jc w:val="left"/>
              <w:outlineLvl w:val="2"/>
              <w:rPr>
                <w:kern w:val="0"/>
                <w:sz w:val="24"/>
                <w:szCs w:val="24"/>
                <w:lang w:val="ru-RU" w:bidi="ar-SA"/>
              </w:rPr>
            </w:pPr>
            <w:bookmarkStart w:id="25" w:name="undefined"/>
            <w:bookmarkEnd w:id="25"/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Соблюдение требований пожарной безопасности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ListParagraph"/>
              <w:widowControl/>
              <w:numPr>
                <w:ilvl w:val="0"/>
                <w:numId w:val="9"/>
              </w:numPr>
              <w:shd w:val="clear" w:color="auto" w:fill="FFFFFF"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Правила противопожарного режима в Российской Федерации, утверждены Постановлением Правительства РФ от 16.09.2020 № 1479;</w:t>
            </w:r>
          </w:p>
          <w:p>
            <w:pPr>
              <w:pStyle w:val="ListParagraph"/>
              <w:widowControl/>
              <w:numPr>
                <w:ilvl w:val="0"/>
                <w:numId w:val="9"/>
              </w:numPr>
              <w:shd w:val="clear" w:color="auto" w:fill="FFFFFF"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Технический регламент о требованиях пожарной безопасности. №123-ФЗ от 22.07.2008;</w:t>
            </w:r>
          </w:p>
          <w:p>
            <w:pPr>
              <w:pStyle w:val="ListParagraph"/>
              <w:widowControl/>
              <w:numPr>
                <w:ilvl w:val="0"/>
                <w:numId w:val="9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ГОСТ 12.1.004-91 Система стандартов безопасности труда. Пожарная безопасность. Общие требования.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rFonts w:ascii="Times New Roman" w:hAnsi="Times New Roman" w:cs="Times New Roman"/>
                <w:bCs/>
                <w:i/>
                <w:i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bCs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Autospacing="0" w:before="0" w:afterAutospacing="0" w:after="0"/>
              <w:ind w:left="0" w:right="0"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</w:p>
          <w:p>
            <w:pPr>
              <w:pStyle w:val="Normal"/>
              <w:widowControl/>
              <w:spacing w:lineRule="auto" w:line="276" w:beforeAutospacing="0" w:before="0" w:afterAutospacing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  <w:bCs/>
                <w:i/>
                <w:i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bCs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Autospacing="0" w:before="0" w:afterAutospacing="0" w:after="0"/>
              <w:ind w:left="0" w:right="0"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Персональную ответственность за обеспечение пожарной безопасности несёт руководитель Подрядчика или лицо, его замещающее.</w:t>
            </w:r>
          </w:p>
          <w:p>
            <w:pPr>
              <w:pStyle w:val="Normal"/>
              <w:widowControl/>
              <w:spacing w:lineRule="auto" w:line="276" w:beforeAutospacing="0" w:before="0" w:afterAutospacing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  <w:bCs/>
                <w:i/>
                <w:i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bCs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Autospacing="0" w:before="0" w:afterAutospacing="0" w:after="0"/>
              <w:ind w:left="0" w:right="0"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Ремонтная площадка должна быть оснащена средствами пожаротушения.</w:t>
            </w:r>
          </w:p>
          <w:p>
            <w:pPr>
              <w:pStyle w:val="Normal"/>
              <w:widowControl/>
              <w:spacing w:lineRule="auto" w:line="276" w:beforeAutospacing="0" w:before="0" w:afterAutospacing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  <w:bCs/>
                <w:i/>
                <w:i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bCs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ListParagraph"/>
              <w:widowControl/>
              <w:tabs>
                <w:tab w:val="clear" w:pos="709"/>
                <w:tab w:val="left" w:pos="256" w:leader="none"/>
              </w:tabs>
              <w:spacing w:lineRule="auto" w:line="276" w:beforeAutospacing="0" w:before="0" w:afterAutospacing="0" w:after="0"/>
              <w:ind w:left="0" w:right="0"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</w:p>
          <w:p>
            <w:pPr>
              <w:pStyle w:val="Normal"/>
              <w:widowControl/>
              <w:tabs>
                <w:tab w:val="clear" w:pos="709"/>
                <w:tab w:val="left" w:pos="447" w:leader="none"/>
              </w:tabs>
              <w:spacing w:lineRule="auto" w:line="240" w:before="0" w:after="0"/>
              <w:ind w:left="0" w:right="0" w:hanging="0"/>
              <w:contextualSpacing/>
              <w:jc w:val="both"/>
              <w:rPr>
                <w:rFonts w:eastAsia="Calibri"/>
                <w:i w:val="false"/>
                <w:i w:val="false"/>
                <w:iCs w:val="false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2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9"/>
                <w:tab w:val="left" w:pos="567" w:leader="none"/>
              </w:tabs>
              <w:spacing w:lineRule="auto" w:line="240" w:beforeAutospacing="0" w:before="0" w:afterAutospacing="0" w:after="0"/>
              <w:ind w:left="0" w:right="0" w:hanging="0"/>
              <w:jc w:val="left"/>
              <w:outlineLvl w:val="2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Соблюдение требований охраны труда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40" w:before="0" w:after="0"/>
              <w:ind w:left="0" w:right="0" w:firstLine="283"/>
              <w:jc w:val="left"/>
              <w:rPr>
                <w:rFonts w:ascii="Times New Roman" w:hAnsi="Times New Roman" w:cs="Times New Roman"/>
                <w:i w:val="false"/>
                <w:i w:val="false"/>
                <w:iCs w:val="false"/>
                <w:color w:val="000000" w:themeColor="text1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i w:val="false"/>
                <w:iCs w:val="false"/>
                <w:color w:val="000000" w:themeColor="text1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pacing w:lineRule="auto" w:line="240" w:beforeAutospacing="0" w:before="0" w:afterAutospacing="0" w:after="0"/>
              <w:ind w:hanging="0"/>
              <w:jc w:val="left"/>
              <w:outlineLvl w:val="2"/>
              <w:rPr>
                <w:rFonts w:ascii="Times New Roman" w:hAnsi="Times New Roman" w:eastAsia="Times New Roman" w:cs="Times New Roman"/>
                <w:i w:val="false"/>
                <w:i w:val="false"/>
                <w:iCs w:val="false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Контроль по соблюдению требований охраны труда осуществляется Подрядчиком и Заказчиком.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rFonts w:ascii="Times New Roman" w:hAnsi="Times New Roman" w:cs="Times New Roman"/>
                <w:bCs/>
                <w:i/>
                <w:i/>
                <w:kern w:val="0"/>
                <w:sz w:val="24"/>
                <w:szCs w:val="24"/>
                <w:highlight w:val="white"/>
                <w:lang w:val="ru-RU" w:bidi="ar-SA"/>
              </w:rPr>
            </w:pPr>
            <w:r>
              <w:rPr>
                <w:rFonts w:cs="Times New Roman"/>
                <w:bCs/>
                <w:i/>
                <w:kern w:val="0"/>
                <w:sz w:val="24"/>
                <w:szCs w:val="24"/>
                <w:highlight w:val="white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Заказчик обязуется назначить куратора и обеспечить допуск персонала подрядчика к месту проведения ремонтных работ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, 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rFonts w:ascii="Times New Roman" w:hAnsi="Times New Roman" w:cs="Times New Roman"/>
                <w:bCs/>
                <w:i/>
                <w:i/>
                <w:kern w:val="0"/>
                <w:sz w:val="24"/>
                <w:szCs w:val="24"/>
                <w:highlight w:val="none"/>
                <w:lang w:val="ru-RU" w:bidi="ar-SA"/>
              </w:rPr>
            </w:pPr>
            <w:r>
              <w:rPr>
                <w:rFonts w:cs="Times New Roman"/>
                <w:bCs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Подрядчик обязуется до начала выполнения работ разработать и предоставить на согласование ППР, указать методы и технологию выполнения работ, организационные вопросы, мероприятия по технике безопасности и охране труда.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rFonts w:ascii="Times New Roman" w:hAnsi="Times New Roman" w:cs="Times New Roman"/>
                <w:bCs w:val="false"/>
                <w:i w:val="false"/>
                <w:i w:val="false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bCs w:val="false"/>
                <w:i w:val="false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Применяемые при работах механизмы и грузоподъемные машины (в соответствии с разрабатываемым Подрядчиком ППР), приспособления и инструмент должны быть испытаны и эксплуатироваться в соответствии с требованиями стандартов безопасности труда, правил Ростехнадзора, а также инструкций заводов – изготовителей.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40" w:beforeAutospacing="0" w:before="0" w:afterAutospacing="0" w:after="0"/>
              <w:ind w:left="0" w:right="0" w:hanging="0"/>
              <w:jc w:val="both"/>
              <w:rPr>
                <w:rFonts w:ascii="Times New Roman" w:hAnsi="Times New Roman" w:cs="Times New Roman"/>
                <w:bCs w:val="false"/>
                <w:i w:val="false"/>
                <w:i w:val="false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bCs w:val="false"/>
                <w:i w:val="false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rFonts w:ascii="Times New Roman" w:hAnsi="Times New Roman" w:cs="Times New Roman"/>
                <w:bCs w:val="false"/>
                <w:i w:val="false"/>
                <w:i w:val="false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bCs w:val="false"/>
                <w:i w:val="false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Правила по охране труда при строительстве, реконструкции и ремонте (утверждены приказом Министерства труда от 11.12.2020 № 883н);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Правил по охране труда при выполнении электросварочных и газосварочных работ (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утверждены приказом Министерства труда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от 11.12.2020 № 884н)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Правила по охране труда при работе на высоте (утверждены приказом Министерства труда от 16.11.2020 №782н)</w:t>
            </w:r>
          </w:p>
          <w:p>
            <w:pPr>
              <w:pStyle w:val="ListParagraph"/>
              <w:widowControl/>
              <w:numPr>
                <w:ilvl w:val="0"/>
                <w:numId w:val="11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Правила по охране труда при производстве дорожных строительных и ремонтно-строительных работ (Приказ Министерства труда от 11.12.2020г. № 882Н);</w:t>
            </w:r>
          </w:p>
          <w:p>
            <w:pPr>
              <w:pStyle w:val="ListParagraph"/>
              <w:widowControl/>
              <w:numPr>
                <w:ilvl w:val="0"/>
                <w:numId w:val="11"/>
              </w:numPr>
              <w:pBdr/>
              <w:shd w:val="clear" w:color="FFFFFF" w:fill="FFFFFF"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Правила по охране труда при выполнении антикоррозионных работ по нанесению защитных покрытий на трубы (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ГОСТ Р 12.3.052-2020 «Система стандартов безопасности труда. Строительство. Работы антикоррозионные. Требования безопасности»);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Правила по охране труда при работе с инструментом и приспособлениями (утверждены приказом Министерства труда от 27.11.2020 № 835н);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Правила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Правила по охране труда при обработке металлов (утв. приказом Министерства труда и социальной защиты Российской Федерации от 11.12.2020 №887н)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Правила при погрузочно-разгрузочных работах и размещении грузов (утв. приказом Министерства труда и социальной защиты Российской Федерации от 28.10.2020 №753н);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Правила по охране труда при эксплуатации электроустановок, утвержденные Приказом Министерства труда и социальной защиты РФ от 15.12.2020 №903н;</w:t>
            </w:r>
          </w:p>
          <w:p>
            <w:pPr>
              <w:pStyle w:val="Normal"/>
              <w:widowControl/>
              <w:numPr>
                <w:ilvl w:val="0"/>
                <w:numId w:val="10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 №461).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  <w:bCs w:val="false"/>
                <w:i w:val="false"/>
                <w:i w:val="false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bCs w:val="false"/>
                <w:i w:val="false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ListParagraph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</w:p>
          <w:p>
            <w:pPr>
              <w:pStyle w:val="ListParagraph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contextualSpacing/>
              <w:jc w:val="both"/>
              <w:rPr>
                <w:rFonts w:ascii="Times New Roman" w:hAnsi="Times New Roman" w:cs="Times New Roman"/>
                <w:bCs w:val="false"/>
                <w:i w:val="false"/>
                <w:i w:val="false"/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bCs w:val="false"/>
                <w:i w:val="false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0"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lineRule="auto" w:line="240" w:beforeAutospacing="0" w:before="0" w:afterAutospacing="0" w:after="0"/>
              <w:ind w:hanging="0"/>
              <w:jc w:val="both"/>
              <w:rPr>
                <w:rFonts w:ascii="Times New Roman" w:hAnsi="Times New Roman" w:eastAsia="Times New Roman" w:cs="Times New Roman"/>
                <w:i w:val="false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2"/>
                <w:numId w:val="1"/>
              </w:numPr>
              <w:spacing w:lineRule="auto" w:line="240" w:before="60" w:after="60"/>
              <w:ind w:left="0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980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9"/>
                <w:tab w:val="left" w:pos="567" w:leader="none"/>
              </w:tabs>
              <w:spacing w:lineRule="auto" w:line="240" w:beforeAutospacing="0" w:before="0" w:afterAutospacing="0" w:after="0"/>
              <w:ind w:left="0" w:right="0" w:hanging="0"/>
              <w:jc w:val="left"/>
              <w:outlineLvl w:val="2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Соблюдение требований к охране окружающей среды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tabs>
                <w:tab w:val="clear" w:pos="709"/>
                <w:tab w:val="left" w:pos="567" w:leader="none"/>
              </w:tabs>
              <w:spacing w:lineRule="auto" w:line="240" w:beforeAutospacing="0" w:before="0" w:afterAutospacing="0" w:after="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i w:val="false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</w:r>
          </w:p>
        </w:tc>
        <w:tc>
          <w:tcPr>
            <w:tcW w:w="6771" w:type="dxa"/>
            <w:gridSpan w:val="2"/>
            <w:tcBorders/>
          </w:tcPr>
          <w:p>
            <w:pPr>
              <w:pStyle w:val="Normal"/>
              <w:widowControl/>
              <w:spacing w:lineRule="auto" w:line="276" w:beforeAutospacing="0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</w:p>
          <w:p>
            <w:pPr>
              <w:pStyle w:val="Normal"/>
              <w:widowControl/>
              <w:spacing w:lineRule="auto" w:line="276" w:beforeAutospacing="0" w:before="0" w:afterAutospacing="0" w:after="0"/>
              <w:ind w:left="0" w:right="0" w:hanging="0"/>
              <w:jc w:val="both"/>
              <w:rPr>
                <w:bCs w:val="false"/>
                <w:i w:val="false"/>
                <w:i w:val="false"/>
                <w:kern w:val="0"/>
                <w:sz w:val="24"/>
                <w:szCs w:val="24"/>
                <w:highlight w:val="none"/>
                <w:lang w:val="ru-RU" w:bidi="ar-SA"/>
              </w:rPr>
            </w:pPr>
            <w:r>
              <w:rPr>
                <w:bCs w:val="false"/>
                <w:i w:val="false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spacing w:lineRule="auto" w:line="276" w:beforeAutospacing="0" w:before="0" w:afterAutospacing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Отходы, строительный мусор должны своевременно вывозиться для дальнейшей утилизации.</w:t>
            </w:r>
          </w:p>
          <w:p>
            <w:pPr>
              <w:pStyle w:val="Normal"/>
              <w:widowControl/>
              <w:spacing w:lineRule="auto" w:line="276" w:beforeAutospacing="0" w:before="0" w:afterAutospacing="0" w:after="0"/>
              <w:ind w:left="0" w:right="0" w:hanging="0"/>
              <w:jc w:val="both"/>
              <w:rPr>
                <w:bCs/>
                <w:i/>
                <w:i/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spacing w:lineRule="auto" w:line="276" w:beforeAutospacing="0" w:before="0" w:afterAutospacing="0" w:after="0"/>
              <w:ind w:left="0" w:right="37"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Мероприятия и работы по охране окружающей среды вести в соответствии: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37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Федеральный закон от 10.01.2002 № 7-ФЗ «Об охране окружающей среды» (ред. от 08.08.2024);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37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Федеральный закон от 04.05.1999 № 96-ФЗ «Об охране атмосферного воздуха» (ред. от 08.08.2024);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37" w:firstLine="283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Водный кодекс Российской Федерации от 03.06.2006 № 74-ФЗ (ред. от 08.08.2024).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lineRule="auto" w:line="276" w:beforeAutospacing="0" w:before="0" w:afterAutospacing="0" w:after="0"/>
              <w:ind w:left="0" w:right="37" w:hanging="0"/>
              <w:contextualSpacing/>
              <w:jc w:val="both"/>
              <w:rPr>
                <w:bCs/>
                <w:i/>
                <w:i/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ListParagraph"/>
              <w:widowControl/>
              <w:tabs>
                <w:tab w:val="clear" w:pos="709"/>
                <w:tab w:val="left" w:pos="256" w:leader="none"/>
              </w:tabs>
              <w:spacing w:lineRule="auto" w:line="276" w:beforeAutospacing="0" w:before="0" w:afterAutospacing="0" w:after="0"/>
              <w:ind w:left="0"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  <w:t>.</w:t>
            </w:r>
          </w:p>
          <w:p>
            <w:pPr>
              <w:pStyle w:val="Normal"/>
              <w:widowControl/>
              <w:tabs>
                <w:tab w:val="clear" w:pos="709"/>
                <w:tab w:val="left" w:pos="567" w:leader="none"/>
              </w:tabs>
              <w:spacing w:lineRule="auto" w:line="240" w:beforeAutospacing="0" w:before="0" w:afterAutospacing="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i w:val="false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60" w:after="60"/>
              <w:ind w:left="147" w:hanging="71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751" w:type="dxa"/>
            <w:gridSpan w:val="3"/>
            <w:tcBorders/>
            <w:vAlign w:val="center"/>
          </w:tcPr>
          <w:p>
            <w:pPr>
              <w:pStyle w:val="Normal"/>
              <w:widowControl/>
              <w:spacing w:before="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Требования к результатам работ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253" w:hRule="atLeast"/>
        </w:trPr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1"/>
                <w:numId w:val="1"/>
              </w:numPr>
              <w:tabs>
                <w:tab w:val="clear" w:pos="709"/>
                <w:tab w:val="left" w:pos="567" w:leader="none"/>
              </w:tabs>
              <w:spacing w:lineRule="auto" w:line="240" w:before="60" w:after="60"/>
              <w:ind w:left="425" w:right="0" w:hanging="283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751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76" w:beforeAutospacing="0" w:before="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Общие требования к результатам работ</w:t>
            </w:r>
          </w:p>
          <w:p>
            <w:pPr>
              <w:pStyle w:val="Normal"/>
              <w:widowControl/>
              <w:spacing w:lineRule="auto" w:line="276" w:beforeAutospacing="0" w:before="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Восстановленное благоустройство и ремонт камер должно соответствовать требованиям нормативно-технической документации в течение гарантийного срока.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60" w:after="60"/>
              <w:ind w:left="0" w:right="0" w:hanging="0"/>
              <w:contextualSpacing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  <w:t>2.2.</w:t>
            </w:r>
          </w:p>
        </w:tc>
        <w:tc>
          <w:tcPr>
            <w:tcW w:w="9751" w:type="dxa"/>
            <w:gridSpan w:val="3"/>
            <w:tcBorders/>
            <w:vAlign w:val="center"/>
          </w:tcPr>
          <w:p>
            <w:pPr>
              <w:pStyle w:val="Normal"/>
              <w:widowControl/>
              <w:spacing w:lineRule="auto" w:line="276" w:before="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kern w:val="0"/>
                <w:sz w:val="24"/>
                <w:szCs w:val="24"/>
                <w:highlight w:val="white"/>
                <w:lang w:val="ru-RU" w:bidi="ar-SA"/>
              </w:rPr>
              <w:t>Требования к порядку приемки результатов работ</w:t>
            </w:r>
          </w:p>
          <w:p>
            <w:pPr>
              <w:pStyle w:val="Normal"/>
              <w:widowControl/>
              <w:spacing w:lineRule="auto" w:line="276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Подробно указаны в проекте договора подряда (в том числе в разделе № 4), который включен в состав Документации о закупке.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253" w:hRule="atLeast"/>
        </w:trPr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60" w:after="60"/>
              <w:ind w:left="0" w:right="0" w:hanging="0"/>
              <w:contextualSpacing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color w:val="000000" w:themeColor="text1"/>
                <w:kern w:val="0"/>
                <w:sz w:val="24"/>
                <w:szCs w:val="24"/>
                <w:lang w:val="ru-RU" w:bidi="ar-SA"/>
              </w:rPr>
              <w:t>2.3.</w:t>
            </w:r>
          </w:p>
        </w:tc>
        <w:tc>
          <w:tcPr>
            <w:tcW w:w="9751" w:type="dxa"/>
            <w:gridSpan w:val="3"/>
            <w:tcBorders/>
          </w:tcPr>
          <w:p>
            <w:pPr>
              <w:pStyle w:val="Normal"/>
              <w:widowControl/>
              <w:spacing w:lineRule="auto" w:line="276" w:before="6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оформлению документации</w:t>
            </w:r>
          </w:p>
          <w:p>
            <w:pPr>
              <w:pStyle w:val="Normal"/>
              <w:widowControl/>
              <w:spacing w:lineRule="auto" w:line="276" w:before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При выполнении работ Подрядчик обязан оформить и передать Заказчику в установленные сроки сдаточную и исполнительную документацию в соответствии с 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г. АО «ДГ</w:t>
            </w:r>
            <w:r>
              <w:rPr>
                <w:kern w:val="0"/>
                <w:sz w:val="24"/>
                <w:szCs w:val="24"/>
                <w:highlight w:val="white"/>
                <w:lang w:val="ru-RU" w:bidi="ar-SA"/>
              </w:rPr>
              <w:t>К» (Приложение № 6 к настоящим ТТ), а такж</w:t>
            </w:r>
            <w:r>
              <w:rPr>
                <w:kern w:val="0"/>
                <w:sz w:val="24"/>
                <w:szCs w:val="24"/>
                <w:lang w:val="ru-RU" w:bidi="ar-SA"/>
              </w:rPr>
              <w:t>е приказом Минстроя России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от 16.05.2023 № 344/пр.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lineRule="auto" w:line="276" w:before="60" w:after="0"/>
              <w:ind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/>
                <w:kern w:val="0"/>
                <w:sz w:val="24"/>
                <w:szCs w:val="24"/>
                <w:lang w:val="ru-RU" w:bidi="ar-SA"/>
              </w:rPr>
              <w:t xml:space="preserve">Перечень исполнительной документации подробно указан в проекте договора подряда в разделе 4 (в том числе в Приложениях № 4 и № 14 к Договору) </w:t>
            </w:r>
            <w:r>
              <w:rPr>
                <w:i/>
                <w:kern w:val="0"/>
                <w:sz w:val="24"/>
                <w:szCs w:val="24"/>
                <w:highlight w:val="white"/>
                <w:lang w:val="ru-RU" w:bidi="ar-SA"/>
              </w:rPr>
              <w:t>(Приложение № 2 к Документации о закупке)</w:t>
            </w:r>
            <w:r>
              <w:rPr>
                <w:kern w:val="0"/>
                <w:sz w:val="24"/>
                <w:szCs w:val="24"/>
                <w:highlight w:val="white"/>
                <w:lang w:val="ru-RU" w:bidi="ar-SA"/>
              </w:rPr>
              <w:t>.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1522" w:hRule="atLeast"/>
        </w:trPr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1"/>
              </w:numPr>
              <w:tabs>
                <w:tab w:val="clear" w:pos="709"/>
                <w:tab w:val="left" w:pos="283" w:leader="none"/>
                <w:tab w:val="left" w:pos="425" w:leader="none"/>
              </w:tabs>
              <w:spacing w:lineRule="auto" w:line="240" w:before="60" w:after="60"/>
              <w:ind w:left="142" w:right="0" w:hanging="0"/>
              <w:contextualSpacing/>
              <w:jc w:val="center"/>
              <w:rPr>
                <w:rFonts w:eastAsia="Calibri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751" w:type="dxa"/>
            <w:gridSpan w:val="3"/>
            <w:tcBorders/>
            <w:vAlign w:val="center"/>
          </w:tcPr>
          <w:p>
            <w:pPr>
              <w:pStyle w:val="Normal"/>
              <w:widowControl/>
              <w:spacing w:lineRule="auto" w:line="276" w:before="4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ТТ):</w:t>
            </w:r>
          </w:p>
          <w:p>
            <w:pPr>
              <w:pStyle w:val="Normal"/>
              <w:widowControl/>
              <w:spacing w:lineRule="auto" w:line="276" w:before="40" w:after="0"/>
              <w:ind w:hanging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Подробно указаны в проекте договора подряда, который включен в состав Документации о закупке.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b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1328" w:hRule="atLeast"/>
        </w:trPr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ind w:left="142" w:right="0" w:hanging="0"/>
              <w:contextualSpacing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val="ru-RU" w:bidi="ar-SA"/>
              </w:rPr>
              <w:t>4.</w:t>
            </w:r>
          </w:p>
        </w:tc>
        <w:tc>
          <w:tcPr>
            <w:tcW w:w="9751" w:type="dxa"/>
            <w:gridSpan w:val="3"/>
            <w:tcBorders/>
          </w:tcPr>
          <w:p>
            <w:pPr>
              <w:pStyle w:val="Normal"/>
              <w:widowControl/>
              <w:spacing w:lineRule="auto" w:line="276" w:before="2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Требования к ответственности и гарантиям подрядчика</w:t>
            </w:r>
          </w:p>
          <w:p>
            <w:pPr>
              <w:pStyle w:val="Normal"/>
              <w:widowControl/>
              <w:tabs>
                <w:tab w:val="clear" w:pos="709"/>
                <w:tab w:val="left" w:pos="1134" w:leader="none"/>
              </w:tabs>
              <w:spacing w:lineRule="auto" w:line="276" w:before="0" w:after="0"/>
              <w:ind w:hanging="0"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4"/>
                <w:szCs w:val="24"/>
                <w:lang w:val="ru-RU" w:bidi="ru-RU"/>
              </w:rPr>
              <w:t xml:space="preserve">Подробно требования к сроку и объему предоставления гарантий указаны в проекте 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Договора подряда (в том числе в разделе № 8 и № 7) </w:t>
            </w:r>
            <w:r>
              <w:rPr>
                <w:kern w:val="0"/>
                <w:sz w:val="24"/>
                <w:szCs w:val="24"/>
                <w:highlight w:val="white"/>
                <w:lang w:val="ru-RU" w:bidi="ar-SA"/>
              </w:rPr>
              <w:t>(Приложение № 2 к Документации о закупке).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tcBorders/>
            <w:vAlign w:val="center"/>
          </w:tcPr>
          <w:p>
            <w:pPr>
              <w:pStyle w:val="Normal"/>
              <w:widowControl/>
              <w:spacing w:before="60" w:after="60"/>
              <w:ind w:left="142" w:right="0" w:hanging="0"/>
              <w:contextualSpacing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val="ru-RU" w:bidi="ar-SA"/>
              </w:rPr>
              <w:t>5.</w:t>
            </w:r>
          </w:p>
        </w:tc>
        <w:tc>
          <w:tcPr>
            <w:tcW w:w="9751" w:type="dxa"/>
            <w:gridSpan w:val="3"/>
            <w:tcBorders/>
          </w:tcPr>
          <w:p>
            <w:pPr>
              <w:pStyle w:val="Normal"/>
              <w:widowControl/>
              <w:tabs>
                <w:tab w:val="clear" w:pos="709"/>
                <w:tab w:val="left" w:pos="1134" w:leader="none"/>
              </w:tabs>
              <w:spacing w:lineRule="auto" w:line="276" w:before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ahoma" w:cs="Lohit Devanagari"/>
                <w:b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  <w:p>
            <w:pPr>
              <w:pStyle w:val="Normal"/>
              <w:widowControl/>
              <w:tabs>
                <w:tab w:val="clear" w:pos="709"/>
                <w:tab w:val="left" w:pos="1134" w:leader="none"/>
              </w:tabs>
              <w:spacing w:lineRule="auto" w:line="276" w:before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Требования к субподрядным организациям, привлекаемым к выполнению работ подробно указаны в проекте </w:t>
            </w:r>
            <w:r>
              <w:rPr>
                <w:rFonts w:eastAsia="Tahoma" w:cs="Lohit Devanagari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договора подряда (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 том числе в разделе № 2</w:t>
            </w:r>
            <w:r>
              <w:rPr>
                <w:rFonts w:eastAsia="Tahoma" w:cs="Lohit Devanagari"/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) </w:t>
            </w:r>
            <w:r>
              <w:rPr>
                <w:rFonts w:eastAsia="Tahoma" w:cs="Lohit Devanagari"/>
                <w:i w:val="false"/>
                <w:iCs w:val="false"/>
                <w:kern w:val="0"/>
                <w:sz w:val="24"/>
                <w:szCs w:val="24"/>
                <w:lang w:val="ru-RU" w:eastAsia="en-US" w:bidi="ar-SA"/>
              </w:rPr>
              <w:t>(Приложение № 2 к Документации о закупке).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71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60" w:after="60"/>
              <w:ind w:left="142" w:right="0" w:hanging="0"/>
              <w:contextualSpacing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val="ru-RU" w:bidi="ar-SA"/>
              </w:rPr>
              <w:t>6.</w:t>
            </w:r>
          </w:p>
          <w:p>
            <w:pPr>
              <w:pStyle w:val="Normal"/>
              <w:widowControl/>
              <w:spacing w:before="60" w:after="60"/>
              <w:ind w:left="142" w:right="0" w:hanging="0"/>
              <w:contextualSpacing/>
              <w:jc w:val="left"/>
              <w:rPr>
                <w:rFonts w:eastAsia="Calibri"/>
                <w:b/>
                <w:bCs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751" w:type="dxa"/>
            <w:gridSpan w:val="3"/>
            <w:tcBorders/>
          </w:tcPr>
          <w:p>
            <w:pPr>
              <w:pStyle w:val="Normal"/>
              <w:widowControl/>
              <w:spacing w:before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bidi="ar-SA"/>
              </w:rPr>
              <w:t>Требования к победителю</w:t>
            </w:r>
          </w:p>
          <w:p>
            <w:pPr>
              <w:pStyle w:val="Normal"/>
              <w:widowControl/>
              <w:spacing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bidi="ar-SA"/>
              </w:rPr>
              <w:t xml:space="preserve">Участник, признанный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highlight w:val="white"/>
                <w:lang w:val="ru-RU" w:bidi="ar-SA"/>
              </w:rPr>
              <w:t>победителем</w:t>
            </w: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bidi="ar-SA"/>
              </w:rPr>
              <w:t xml:space="preserve"> закупочной процедуры, в течение 5 (пяти) рабочих дней после размещения протокола подведения итогов закупки на сайте </w:t>
            </w:r>
            <w:hyperlink r:id="rId3" w:tgtFrame="http://www.zakupki.gov.ru">
              <w:r>
                <w:rPr>
                  <w:rStyle w:val="Hyperlink"/>
                  <w:rFonts w:eastAsia="Times New Roman" w:cs="Times New Roman"/>
                  <w:kern w:val="0"/>
                  <w:sz w:val="24"/>
                  <w:szCs w:val="24"/>
                  <w:highlight w:val="white"/>
                  <w:lang w:val="ru-RU" w:bidi="ar-SA"/>
                </w:rPr>
                <w:t>www.zakupki.gov.ru</w:t>
              </w:r>
            </w:hyperlink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bidi="ar-SA"/>
              </w:rPr>
              <w:t xml:space="preserve"> (до заключения договора), должен предоставить в адрес Заказчика на электронный адрес </w:t>
            </w:r>
            <w:hyperlink r:id="rId4" w:tgtFrame="mailto:Kulik-ANV@dgk.ru">
              <w:r>
                <w:rPr>
                  <w:rFonts w:eastAsia="Times New Roman" w:cs="Times New Roman"/>
                  <w:kern w:val="0"/>
                  <w:sz w:val="24"/>
                  <w:szCs w:val="24"/>
                  <w:highlight w:val="white"/>
                  <w:lang w:val="ru-RU" w:bidi="ar-SA"/>
                </w:rPr>
                <w:t>(</w:t>
              </w:r>
              <w:r>
                <w:rPr>
                  <w:rFonts w:eastAsia="Times New Roman" w:cs="Times New Roman"/>
                  <w:b/>
                  <w:bCs/>
                  <w:kern w:val="0"/>
                  <w:sz w:val="24"/>
                  <w:szCs w:val="24"/>
                  <w:highlight w:val="white"/>
                  <w:lang w:val="ru-RU" w:bidi="ar-SA"/>
                </w:rPr>
                <w:t>tayurskaya-en@dgk.ru)</w:t>
              </w:r>
            </w:hyperlink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bidi="ar-SA"/>
              </w:rPr>
              <w:t xml:space="preserve"> дополнительные документы.</w:t>
            </w:r>
          </w:p>
          <w:p>
            <w:pPr>
              <w:pStyle w:val="ListParagraph"/>
              <w:widowControl/>
              <w:shd w:val="clear" w:color="auto" w:fill="FFFFFF"/>
              <w:tabs>
                <w:tab w:val="clear" w:pos="709"/>
                <w:tab w:val="left" w:pos="284" w:leader="none"/>
              </w:tabs>
              <w:spacing w:before="0" w:after="0"/>
              <w:ind w:left="0" w:firstLine="652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bidi="ar-SA"/>
              </w:rPr>
              <w:t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</w:p>
          <w:p>
            <w:pPr>
              <w:pStyle w:val="Normal"/>
              <w:widowControl/>
              <w:spacing w:before="0" w:after="0"/>
              <w:ind w:hanging="0"/>
              <w:jc w:val="both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highlight w:val="none"/>
                <w:lang w:val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>
          <w:trHeight w:val="1608" w:hRule="atLeast"/>
        </w:trPr>
        <w:tc>
          <w:tcPr>
            <w:tcW w:w="71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795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highlight w:val="white"/>
                <w:lang w:val="ru-RU" w:bidi="ar-SA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:highlight w:val="white"/>
                <w:lang w:val="ru-RU" w:bidi="ar-SA"/>
                <w14:ligatures w14:val="none"/>
              </w:rPr>
            </w:r>
          </w:p>
          <w:p>
            <w:pPr>
              <w:pStyle w:val="Normal"/>
              <w:widowControl/>
              <w:spacing w:before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highlight w:val="white"/>
                <w:lang w:val="ru-RU" w:bidi="ar-SA"/>
              </w:rPr>
              <w:t>Требования к кадровым ресурсам Победителя:</w:t>
            </w:r>
          </w:p>
          <w:p>
            <w:pPr>
              <w:pStyle w:val="Normal"/>
              <w:widowControl/>
              <w:spacing w:before="0" w:after="0"/>
              <w:ind w:lef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bidi="ar-SA"/>
              </w:rPr>
              <w:t>Согласно требования:</w:t>
            </w:r>
          </w:p>
          <w:p>
            <w:pPr>
              <w:pStyle w:val="ListParagraph"/>
              <w:widowControl/>
              <w:numPr>
                <w:ilvl w:val="0"/>
                <w:numId w:val="14"/>
              </w:numPr>
              <w:spacing w:before="0" w:after="0"/>
              <w:ind w:left="0" w:right="0" w:hanging="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bidi="ar-SA"/>
              </w:rPr>
              <w:t>п.92 Постановления правительства Российской федерации от 24.12.2021 г.№ 2464 «О порядке обучения по охране труда и проверки знаний требований охраны труда»</w:t>
            </w:r>
          </w:p>
          <w:p>
            <w:pPr>
              <w:pStyle w:val="Normal"/>
              <w:widowControl/>
              <w:spacing w:before="0" w:after="0"/>
              <w:ind w:hanging="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white"/>
                <w:lang w:val="ru-RU" w:bidi="ar-SA"/>
                <w14:ligatures w14:val="none"/>
              </w:rPr>
            </w:pPr>
            <w:r>
              <w:rPr>
                <w:rFonts w:cs="Times New Roman"/>
                <w:kern w:val="0"/>
                <w:sz w:val="24"/>
                <w:szCs w:val="24"/>
                <w:highlight w:val="white"/>
                <w:lang w:val="ru-RU" w:bidi="ar-SA"/>
                <w14:ligatures w14:val="none"/>
              </w:rPr>
            </w:r>
          </w:p>
          <w:p>
            <w:pPr>
              <w:pStyle w:val="Normal"/>
              <w:widowControl/>
              <w:spacing w:before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:highlight w:val="white"/>
                <w:lang w:val="ru-RU" w:bidi="ar-SA"/>
                <w14:ligatures w14:val="none"/>
              </w:rPr>
              <w:t>Требования к материально техническим ресурсам Победителя:</w:t>
            </w:r>
          </w:p>
          <w:p>
            <w:pPr>
              <w:pStyle w:val="Normal"/>
              <w:widowControl/>
              <w:spacing w:before="0" w:after="0"/>
              <w:ind w:left="0" w:right="0"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cs="Times New Roman"/>
                <w:b w:val="false"/>
                <w:bCs w:val="false"/>
                <w:kern w:val="0"/>
                <w:sz w:val="24"/>
                <w:szCs w:val="24"/>
                <w:highlight w:val="white"/>
                <w:lang w:val="ru-RU" w:bidi="ar-SA"/>
                <w14:ligatures w14:val="none"/>
              </w:rPr>
              <w:t xml:space="preserve">2) </w:t>
            </w:r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highlight w:val="white"/>
                <w:lang w:val="ru-RU" w:bidi="ar-SA"/>
              </w:rPr>
              <w:t>Победитель должен иметь в наличии на законных основаниях (на правах собственности / аренды/ лизинга /ином законном праве использования, владения) минимальное количество транспортных средств, а именно: автомобиль-самосвал грузоподьемностью до 15 тонн не менее 1-го (для перевозки грузов 1-го класса), экскаватор с объемом ковша не менее 0,3 м3 не менее 1-го, каток дорожный массой не менее 1 тн.</w:t>
            </w:r>
          </w:p>
          <w:p>
            <w:pPr>
              <w:pStyle w:val="Normal"/>
              <w:widowControl/>
              <w:spacing w:before="0" w:after="0"/>
              <w:ind w:hanging="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white"/>
                <w:lang w:val="ru-RU" w:bidi="ar-SA"/>
                <w14:ligatures w14:val="none"/>
              </w:rPr>
            </w:pPr>
            <w:r>
              <w:rPr>
                <w:rFonts w:cs="Times New Roman"/>
                <w:kern w:val="0"/>
                <w:sz w:val="24"/>
                <w:szCs w:val="24"/>
                <w:highlight w:val="white"/>
                <w:lang w:val="ru-RU" w:bidi="ar-SA"/>
                <w14:ligatures w14:val="none"/>
              </w:rPr>
            </w:r>
          </w:p>
        </w:tc>
        <w:tc>
          <w:tcPr>
            <w:tcW w:w="4956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white"/>
                <w:lang w:val="ru-RU" w:bidi="ar-SA"/>
                <w14:ligatures w14:val="none"/>
              </w:rPr>
            </w:pPr>
            <w:r>
              <w:rPr>
                <w:rFonts w:cs="Times New Roman"/>
                <w:kern w:val="0"/>
                <w:sz w:val="24"/>
                <w:szCs w:val="24"/>
                <w:highlight w:val="white"/>
                <w:lang w:val="ru-RU" w:bidi="ar-SA"/>
                <w14:ligatures w14:val="none"/>
              </w:rPr>
            </w:r>
          </w:p>
          <w:p>
            <w:pPr>
              <w:pStyle w:val="Normal"/>
              <w:widowControl/>
              <w:spacing w:before="0" w:after="0"/>
              <w:ind w:hanging="0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highlight w:val="white"/>
                <w:u w:val="single"/>
                <w:lang w:val="ru-RU" w:bidi="ar-SA"/>
              </w:rPr>
              <w:t>Подтверждается :</w:t>
            </w:r>
          </w:p>
          <w:p>
            <w:pPr>
              <w:pStyle w:val="ListParagraph"/>
              <w:widowControl/>
              <w:numPr>
                <w:ilvl w:val="0"/>
                <w:numId w:val="13"/>
              </w:numPr>
              <w:spacing w:before="0" w:after="0"/>
              <w:ind w:left="360" w:hanging="360"/>
              <w:contextualSpacing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bidi="ar-SA"/>
              </w:rPr>
              <w:t>Копии протокола (-ов) заседания комиссии по проверки знаний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 и заверенные руководителем подрядной организации или уполномоченным лицом.</w:t>
            </w:r>
          </w:p>
          <w:p>
            <w:pPr>
              <w:pStyle w:val="Style20"/>
              <w:widowControl w:val="false"/>
              <w:shd w:val="clear" w:color="auto" w:fill="FFFFFF" w:themeFill="background1"/>
              <w:rPr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</w:rPr>
              <w:t>2) Копию свидетельства о регистрации транспортного средства либо копию ПТС/ПСМ (в случае наличия на правах собственности);</w:t>
            </w:r>
          </w:p>
          <w:p>
            <w:pPr>
              <w:pStyle w:val="Style20"/>
              <w:widowControl w:val="false"/>
              <w:shd w:val="clear" w:color="auto" w:fill="FFFFFF" w:themeFill="background1"/>
              <w:rPr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</w:rPr>
              <w:t>2.1) Копии, заверенных Участником документов (в случае отсутствия собственных МТР), по своему усмотрению из перечисленных:</w:t>
            </w:r>
          </w:p>
          <w:p>
            <w:pPr>
              <w:pStyle w:val="Style20"/>
              <w:widowControl w:val="false"/>
              <w:shd w:val="clear" w:color="auto" w:fill="FFFFFF" w:themeFill="background1"/>
              <w:ind w:left="145" w:right="0" w:hanging="0"/>
              <w:rPr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</w:rPr>
              <w:t>- договор аренды/ договор на оказание услуг машин и механизмов,</w:t>
            </w:r>
          </w:p>
          <w:p>
            <w:pPr>
              <w:pStyle w:val="Style20"/>
              <w:widowControl w:val="false"/>
              <w:shd w:val="clear" w:color="auto" w:fill="FFFFFF" w:themeFill="background1"/>
              <w:ind w:left="145" w:right="0" w:hanging="0"/>
              <w:rPr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</w:rPr>
              <w:t>- соглашение о намерениях заключить договор аренды/ соглашение о намерениях заключить договор на оказание услуг машин и механизмов, указанных приложении №1 к настоящим Техническим требованиям.</w:t>
            </w:r>
          </w:p>
          <w:p>
            <w:pPr>
              <w:pStyle w:val="Style20"/>
              <w:widowControl w:val="false"/>
              <w:shd w:val="clear" w:color="auto" w:fill="FFFFFF" w:themeFill="background1"/>
              <w:ind w:left="145" w:right="0" w:hanging="0"/>
              <w:rPr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</w:rPr>
              <w:t>- гарантийное письмо о заключении договора аренды/ гарантийное письмо о заключении договора на оказание услуг транспортом, указанном в приложении №1 к настоящим Техническим требованиям.</w:t>
            </w:r>
          </w:p>
          <w:p>
            <w:pPr>
              <w:pStyle w:val="Style20"/>
              <w:widowControl w:val="false"/>
              <w:shd w:val="clear" w:color="auto" w:fill="FFFFFF" w:themeFill="background1"/>
              <w:ind w:left="145" w:right="0" w:hanging="0"/>
              <w:rPr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</w:rPr>
              <w:t>- иные документы, подтверждающие право владения/распоряжения.</w:t>
            </w:r>
          </w:p>
          <w:p>
            <w:pPr>
              <w:pStyle w:val="Style20"/>
              <w:widowControl w:val="false"/>
              <w:shd w:val="clear" w:color="auto" w:fill="FFFFFF" w:themeFill="background1"/>
              <w:ind w:left="145" w:right="0" w:hanging="0"/>
              <w:rPr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</w:rPr>
              <w:t>2.2) В случае привлечения для исполнения обязательств по договору третьих лиц, исполнитель обязан предоставить заказчику, документы, подтверждающие законность хозяйственных отношений исполнителя и третьих лиц (договор подряда, договор аренды, соглашение о намерениях, прочие).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white"/>
                <w:lang w:val="ru-RU" w:bidi="ar-SA"/>
                <w14:ligatures w14:val="none"/>
              </w:rPr>
            </w:pPr>
            <w:r>
              <w:rPr>
                <w:rFonts w:cs="Times New Roman"/>
                <w:kern w:val="0"/>
                <w:sz w:val="24"/>
                <w:szCs w:val="24"/>
                <w:highlight w:val="white"/>
                <w:lang w:val="ru-RU" w:bidi="ar-SA"/>
                <w14:ligatures w14:val="none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/>
              <w:spacing w:before="0" w:after="0"/>
              <w:ind w:hanging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</w:tbl>
    <w:p>
      <w:pPr>
        <w:pStyle w:val="Normal"/>
        <w:tabs>
          <w:tab w:val="clear" w:pos="709"/>
          <w:tab w:val="center" w:pos="7285" w:leader="none"/>
        </w:tabs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footerReference w:type="default" r:id="rId5"/>
          <w:footerReference w:type="first" r:id="rId6"/>
          <w:type w:val="nextPage"/>
          <w:pgSz w:orient="landscape" w:w="16838" w:h="11906"/>
          <w:pgMar w:left="1134" w:right="1134" w:gutter="0" w:header="0" w:top="426" w:footer="708" w:bottom="850"/>
          <w:pgNumType w:fmt="decimal"/>
          <w:formProt w:val="false"/>
          <w:textDirection w:val="lrTb"/>
          <w:docGrid w:type="default" w:linePitch="360" w:charSpace="0"/>
        </w:sectPr>
        <w:pStyle w:val="Heading3"/>
        <w:rPr>
          <w:sz w:val="24"/>
          <w:szCs w:val="24"/>
        </w:rPr>
      </w:pPr>
      <w:r>
        <w:rPr>
          <w:sz w:val="24"/>
          <w:szCs w:val="24"/>
        </w:rPr>
        <w:t>.</w:t>
      </w:r>
    </w:p>
    <w:p>
      <w:pPr>
        <w:pStyle w:val="Heading1"/>
        <w:rPr>
          <w:sz w:val="24"/>
          <w:szCs w:val="24"/>
        </w:rPr>
      </w:pPr>
      <w:bookmarkStart w:id="26" w:name="_Toc157784556"/>
      <w:r>
        <w:rPr>
          <w:sz w:val="24"/>
          <w:szCs w:val="24"/>
        </w:rPr>
        <w:t>3. Требования к документации по ценообразованию на этапе закупки</w:t>
      </w:r>
      <w:bookmarkEnd w:id="26"/>
    </w:p>
    <w:p>
      <w:pPr>
        <w:pStyle w:val="ListParagraph"/>
        <w:spacing w:before="0" w:after="240"/>
        <w:ind w:left="0" w:hanging="0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Heading2"/>
        <w:jc w:val="both"/>
        <w:rPr>
          <w:sz w:val="24"/>
          <w:szCs w:val="24"/>
        </w:rPr>
      </w:pPr>
      <w:r>
        <w:rPr>
          <w:b w:val="false"/>
          <w:sz w:val="24"/>
          <w:szCs w:val="24"/>
        </w:rPr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 участником в расчете цены заявки, размер данного коэффициента рекомендуется учитывать с округлением до 7 знаков после запятой).</w:t>
      </w:r>
    </w:p>
    <w:p>
      <w:pPr>
        <w:pStyle w:val="Heading2"/>
        <w:jc w:val="both"/>
        <w:rPr>
          <w:sz w:val="24"/>
          <w:szCs w:val="24"/>
        </w:rPr>
      </w:pPr>
      <w:r>
        <w:rPr>
          <w:b w:val="false"/>
          <w:sz w:val="24"/>
          <w:szCs w:val="24"/>
        </w:rPr>
        <w:t>3.2. 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spacing w:lineRule="auto" w:line="259" w:before="0" w:after="160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rPr/>
      </w:pPr>
      <w:bookmarkStart w:id="27" w:name="_Toc157784557"/>
      <w:bookmarkStart w:id="28" w:name="_Toc157420897"/>
      <w:bookmarkStart w:id="29" w:name="_Toc157420432"/>
      <w:bookmarkStart w:id="30" w:name="_Toc157419946"/>
      <w:r>
        <w:rPr>
          <w:rStyle w:val="1"/>
          <w:b/>
          <w:sz w:val="24"/>
          <w:szCs w:val="24"/>
        </w:rPr>
        <w:t>4. Требования к документации по ценообразованию на этапе заключения</w:t>
      </w:r>
      <w:r>
        <w:rPr>
          <w:sz w:val="24"/>
          <w:szCs w:val="24"/>
        </w:rPr>
        <w:t xml:space="preserve"> (исполнения) договора</w:t>
      </w:r>
      <w:bookmarkEnd w:id="27"/>
      <w:bookmarkEnd w:id="28"/>
      <w:bookmarkEnd w:id="29"/>
      <w:bookmarkEnd w:id="30"/>
    </w:p>
    <w:p>
      <w:pPr>
        <w:pStyle w:val="Normal"/>
        <w:spacing w:before="0" w:after="0"/>
        <w:ind w:left="0" w:hanging="0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Heading2"/>
        <w:ind w:left="0" w:right="0" w:hanging="0"/>
        <w:rPr>
          <w:sz w:val="24"/>
          <w:szCs w:val="24"/>
        </w:rPr>
      </w:pPr>
      <w:bookmarkStart w:id="31" w:name="_Toc157784558"/>
      <w:r>
        <w:rPr>
          <w:sz w:val="24"/>
          <w:szCs w:val="24"/>
        </w:rPr>
        <w:t>4.1. Требования к составлению сметной документации (при заключении договора)</w:t>
      </w:r>
      <w:bookmarkEnd w:id="31"/>
    </w:p>
    <w:p>
      <w:pPr>
        <w:pStyle w:val="Normal"/>
        <w:spacing w:lineRule="auto" w:line="259" w:before="0" w:after="160"/>
        <w:ind w:left="0" w:righ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4.1.1. 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>
        <w:rPr>
          <w:sz w:val="24"/>
          <w:szCs w:val="24"/>
          <w:highlight w:val="white"/>
        </w:rPr>
        <w:t>Приложении № 4 к настоящим ТТ,</w:t>
      </w:r>
      <w:r>
        <w:rPr>
          <w:sz w:val="24"/>
          <w:szCs w:val="24"/>
        </w:rPr>
        <w:t xml:space="preserve">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локальной смете единым индексом в итогах (после начисления лимитированных затрат до начисления НДС). </w:t>
      </w:r>
    </w:p>
    <w:p>
      <w:pPr>
        <w:pStyle w:val="Normal"/>
        <w:spacing w:lineRule="auto" w:line="259" w:before="0" w:after="160"/>
        <w:ind w:left="0" w:righ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4.1.2. Внесение изменений в сметную документацию Заказчика</w:t>
      </w:r>
      <w:r>
        <w:rPr>
          <w:sz w:val="24"/>
          <w:szCs w:val="24"/>
          <w:highlight w:val="white"/>
        </w:rPr>
        <w:t xml:space="preserve"> (Приложение № 3 к ТТ), кроме применения понижающего коэффициента в соответст</w:t>
      </w:r>
      <w:r>
        <w:rPr>
          <w:sz w:val="24"/>
          <w:szCs w:val="24"/>
        </w:rPr>
        <w:t>вии с п.4.1.1, не допускается.</w:t>
      </w:r>
    </w:p>
    <w:p>
      <w:pPr>
        <w:pStyle w:val="Normal"/>
        <w:spacing w:lineRule="auto" w:line="259" w:before="0" w:after="160"/>
        <w:ind w:left="360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1"/>
        <w:rPr>
          <w:sz w:val="24"/>
          <w:szCs w:val="24"/>
        </w:rPr>
      </w:pPr>
      <w:bookmarkStart w:id="32" w:name="_Toc157784559"/>
      <w:bookmarkStart w:id="33" w:name="_Toc54646413"/>
      <w:r>
        <w:rPr>
          <w:sz w:val="24"/>
          <w:szCs w:val="24"/>
        </w:rPr>
        <w:t>5. Приложения</w:t>
      </w:r>
      <w:bookmarkEnd w:id="32"/>
      <w:bookmarkEnd w:id="33"/>
    </w:p>
    <w:p>
      <w:pPr>
        <w:pStyle w:val="Normal"/>
        <w:spacing w:before="0" w:after="120"/>
        <w:ind w:hanging="0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lineRule="auto" w:line="276" w:before="0" w:after="120"/>
        <w:rPr>
          <w:sz w:val="24"/>
          <w:szCs w:val="24"/>
        </w:rPr>
      </w:pPr>
      <w:r>
        <w:rPr>
          <w:bCs/>
          <w:sz w:val="24"/>
          <w:szCs w:val="24"/>
        </w:rPr>
        <w:t>Приложение № 1: Ведомости объемов работ;</w:t>
      </w:r>
    </w:p>
    <w:p>
      <w:pPr>
        <w:pStyle w:val="Normal"/>
        <w:spacing w:lineRule="auto" w:line="276" w:before="0" w:after="120"/>
        <w:rPr>
          <w:sz w:val="24"/>
          <w:szCs w:val="24"/>
        </w:rPr>
      </w:pPr>
      <w:r>
        <w:rPr>
          <w:bCs/>
          <w:sz w:val="24"/>
          <w:szCs w:val="24"/>
        </w:rPr>
        <w:t>Приложение № 2: Ведомости материалов, приобретаемых Подрядчиком;</w:t>
      </w:r>
    </w:p>
    <w:p>
      <w:pPr>
        <w:pStyle w:val="Normal"/>
        <w:spacing w:lineRule="auto" w:line="276" w:before="0" w:after="120"/>
        <w:rPr>
          <w:sz w:val="24"/>
          <w:szCs w:val="24"/>
        </w:rPr>
      </w:pPr>
      <w:r>
        <w:rPr>
          <w:bCs/>
          <w:sz w:val="24"/>
          <w:szCs w:val="24"/>
        </w:rPr>
        <w:t>Приложение № 3: Локальный сметный расчёт;</w:t>
      </w:r>
    </w:p>
    <w:p>
      <w:pPr>
        <w:pStyle w:val="Normal"/>
        <w:spacing w:lineRule="auto" w:line="276" w:before="0" w:after="160"/>
        <w:ind w:left="709" w:right="0" w:hanging="57"/>
        <w:rPr>
          <w:sz w:val="24"/>
          <w:szCs w:val="24"/>
        </w:rPr>
      </w:pPr>
      <w:r>
        <w:rPr>
          <w:bCs/>
          <w:sz w:val="24"/>
          <w:szCs w:val="24"/>
        </w:rPr>
        <w:t>Приложение № 4: Требования к оформлению и составлению документации по ценообразованию;</w:t>
      </w:r>
    </w:p>
    <w:p>
      <w:pPr>
        <w:pStyle w:val="Normal"/>
        <w:spacing w:lineRule="auto" w:line="276" w:before="0" w:after="160"/>
        <w:ind w:left="709" w:right="0" w:hanging="0"/>
        <w:rPr>
          <w:sz w:val="24"/>
          <w:szCs w:val="24"/>
        </w:rPr>
      </w:pPr>
      <w:r>
        <w:rPr>
          <w:bCs/>
          <w:sz w:val="24"/>
          <w:szCs w:val="24"/>
        </w:rPr>
        <w:t>Приложение № 5: «Положение о допуске персонала подрядных организаций к выполнению работ на объектах АО «ДГК»;</w:t>
      </w:r>
    </w:p>
    <w:p>
      <w:pPr>
        <w:pStyle w:val="Normal"/>
        <w:spacing w:lineRule="auto" w:line="276" w:before="0" w:after="160"/>
        <w:ind w:left="709" w:right="0" w:hanging="0"/>
        <w:rPr>
          <w:sz w:val="24"/>
          <w:szCs w:val="24"/>
        </w:rPr>
      </w:pPr>
      <w:r>
        <w:rPr>
          <w:bCs/>
          <w:sz w:val="24"/>
          <w:szCs w:val="24"/>
        </w:rPr>
        <w:t>Приложение № 6: ЛНА Заказчика.</w:t>
      </w:r>
    </w:p>
    <w:sectPr>
      <w:footerReference w:type="default" r:id="rId7"/>
      <w:footerReference w:type="first" r:id="rId8"/>
      <w:type w:val="nextPage"/>
      <w:pgSz w:w="11906" w:h="16838"/>
      <w:pgMar w:left="1134" w:right="850" w:gutter="0" w:header="0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 Light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19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21</w:t>
    </w:r>
    <w:r>
      <w:rPr/>
      <w:fldChar w:fldCharType="end"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)"/>
      <w:lvlJc w:val="left"/>
      <w:pPr>
        <w:tabs>
          <w:tab w:val="num" w:pos="0"/>
        </w:tabs>
        <w:ind w:left="70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  <w:rPr/>
    </w:lvl>
  </w:abstractNum>
  <w:abstractNum w:abstractNumId="14">
    <w:lvl w:ilvl="0">
      <w:start w:val="1"/>
      <w:numFmt w:val="decimal"/>
      <w:lvlText w:val="%1)"/>
      <w:lvlJc w:val="left"/>
      <w:pPr>
        <w:tabs>
          <w:tab w:val="num" w:pos="0"/>
        </w:tabs>
        <w:ind w:left="70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  <w:rPr/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0"/>
      <w:ind w:firstLine="652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8"/>
      <w:lang w:eastAsia="ru-RU" w:val="ru-RU" w:bidi="ar-SA"/>
    </w:rPr>
  </w:style>
  <w:style w:type="paragraph" w:styleId="Heading1">
    <w:name w:val="Heading 1"/>
    <w:basedOn w:val="Heading3"/>
    <w:next w:val="Normal"/>
    <w:link w:val="1"/>
    <w:qFormat/>
    <w:pPr>
      <w:ind w:hanging="0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21"/>
    <w:uiPriority w:val="9"/>
    <w:unhideWhenUsed/>
    <w:qFormat/>
    <w:pPr>
      <w:keepNext w:val="true"/>
      <w:keepLines/>
      <w:spacing w:before="40" w:after="0"/>
      <w:outlineLvl w:val="1"/>
    </w:pPr>
    <w:rPr>
      <w:rFonts w:eastAsia="Arial" w:cs="Arial" w:cstheme="majorBidi" w:eastAsiaTheme="majorEastAsia"/>
      <w:b/>
      <w:szCs w:val="26"/>
    </w:rPr>
  </w:style>
  <w:style w:type="paragraph" w:styleId="Heading3">
    <w:name w:val="Heading 3"/>
    <w:basedOn w:val="Normal"/>
    <w:next w:val="Normal"/>
    <w:link w:val="3"/>
    <w:qFormat/>
    <w:pPr>
      <w:keepNext w:val="true"/>
      <w:spacing w:before="120" w:after="60"/>
      <w:ind w:firstLine="709"/>
      <w:outlineLvl w:val="2"/>
    </w:pPr>
    <w:rPr>
      <w:rFonts w:eastAsia="Calibri"/>
      <w:szCs w:val="24"/>
    </w:rPr>
  </w:style>
  <w:style w:type="paragraph" w:styleId="Heading4">
    <w:name w:val="Heading 4"/>
    <w:basedOn w:val="Heading3"/>
    <w:next w:val="Normal"/>
    <w:link w:val="4"/>
    <w:qFormat/>
    <w:pPr>
      <w:numPr>
        <w:ilvl w:val="1"/>
      </w:numPr>
      <w:ind w:firstLine="709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1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Style3" w:customStyle="1">
    <w:name w:val="Текст сноски Знак"/>
    <w:uiPriority w:val="99"/>
    <w:qFormat/>
    <w:rPr>
      <w:sz w:val="18"/>
    </w:rPr>
  </w:style>
  <w:style w:type="character" w:styleId="Style4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5" w:customStyle="1">
    <w:name w:val="Текст концевой сноски Знак"/>
    <w:uiPriority w:val="99"/>
    <w:qFormat/>
    <w:rPr>
      <w:sz w:val="20"/>
    </w:rPr>
  </w:style>
  <w:style w:type="character" w:styleId="Style6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7" w:customStyle="1">
    <w:name w:val="Абзац списка Знак"/>
    <w:link w:val="ListParagraph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" w:customStyle="1">
    <w:name w:val="Заголовок 1 Знак"/>
    <w:basedOn w:val="DefaultParagraphFont"/>
    <w:qFormat/>
    <w:rPr>
      <w:rFonts w:ascii="Times New Roman" w:hAnsi="Times New Roman" w:eastAsia="Calibri" w:cs="Times New Roman"/>
      <w:b/>
      <w:sz w:val="28"/>
      <w:szCs w:val="28"/>
    </w:rPr>
  </w:style>
  <w:style w:type="character" w:styleId="3" w:customStyle="1">
    <w:name w:val="Заголовок 3 Знак"/>
    <w:basedOn w:val="DefaultParagraphFont"/>
    <w:qFormat/>
    <w:rPr>
      <w:rFonts w:ascii="Times New Roman" w:hAnsi="Times New Roman" w:eastAsia="Calibri" w:cs="Times New Roman"/>
      <w:sz w:val="24"/>
      <w:szCs w:val="24"/>
    </w:rPr>
  </w:style>
  <w:style w:type="character" w:styleId="4" w:customStyle="1">
    <w:name w:val="Заголовок 4 Знак"/>
    <w:basedOn w:val="DefaultParagraphFont"/>
    <w:qFormat/>
    <w:rPr>
      <w:rFonts w:ascii="Times New Roman" w:hAnsi="Times New Roman" w:eastAsia="Calibri" w:cs="Times New Roman"/>
      <w:b/>
      <w:bCs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yle9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1" w:customStyle="1">
    <w:name w:val="Текст примечания Знак"/>
    <w:basedOn w:val="DefaultParagraphFont"/>
    <w:link w:val="Annotationtext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Style13" w:customStyle="1">
    <w:name w:val="Тема примечания Знак"/>
    <w:basedOn w:val="Style11"/>
    <w:link w:val="Annotationsubject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21" w:customStyle="1">
    <w:name w:val="Заголовок 2 Знак"/>
    <w:basedOn w:val="DefaultParagraphFont"/>
    <w:uiPriority w:val="9"/>
    <w:qFormat/>
    <w:rPr>
      <w:rFonts w:ascii="Times New Roman" w:hAnsi="Times New Roman" w:eastAsia="Arial" w:cs="Arial" w:cstheme="majorBidi" w:eastAsiaTheme="majorEastAsia"/>
      <w:b/>
      <w:sz w:val="24"/>
      <w:szCs w:val="26"/>
      <w:lang w:eastAsia="ru-RU"/>
    </w:rPr>
  </w:style>
  <w:style w:type="character" w:styleId="Style14">
    <w:name w:val="Ссылка указателя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/>
    <w:rPr>
      <w:b/>
      <w:bCs/>
      <w:color w:val="5B9BD5" w:themeColor="accent1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"/>
    <w:uiPriority w:val="11"/>
    <w:qFormat/>
    <w:pPr>
      <w:spacing w:before="200" w:after="200"/>
    </w:pPr>
    <w:rPr>
      <w:szCs w:val="24"/>
    </w:rPr>
  </w:style>
  <w:style w:type="paragraph" w:styleId="Quote">
    <w:name w:val="Quote"/>
    <w:basedOn w:val="Normal"/>
    <w:next w:val="Normal"/>
    <w:link w:val="2"/>
    <w:uiPriority w:val="29"/>
    <w:qFormat/>
    <w:pPr>
      <w:ind w:left="720" w:right="720" w:firstLine="652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firstLine="652"/>
    </w:pPr>
    <w:rPr>
      <w:i/>
    </w:rPr>
  </w:style>
  <w:style w:type="paragraph" w:styleId="FootnoteText">
    <w:name w:val="Footnote Text"/>
    <w:basedOn w:val="Normal"/>
    <w:link w:val="Style3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Style5"/>
    <w:uiPriority w:val="99"/>
    <w:semiHidden/>
    <w:unhideWhenUsed/>
    <w:pPr>
      <w:spacing w:lineRule="auto" w:line="240"/>
    </w:pPr>
    <w:rPr>
      <w:sz w:val="20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ListParagraph">
    <w:name w:val="List Paragraph"/>
    <w:basedOn w:val="Normal"/>
    <w:link w:val="Style7"/>
    <w:qFormat/>
    <w:pPr>
      <w:spacing w:before="0" w:after="0"/>
      <w:ind w:left="720" w:firstLine="652"/>
      <w:contextualSpacing/>
    </w:pPr>
    <w:rPr/>
  </w:style>
  <w:style w:type="paragraph" w:styleId="TOC1">
    <w:name w:val="TOC 1"/>
    <w:basedOn w:val="Normal"/>
    <w:next w:val="Normal"/>
    <w:uiPriority w:val="39"/>
    <w:pPr>
      <w:spacing w:before="240" w:after="120"/>
    </w:pPr>
    <w:rPr>
      <w:rFonts w:ascii="Calibri" w:hAnsi="Calibri" w:asciiTheme="minorHAnsi" w:hAnsiTheme="minorHAnsi"/>
      <w:b/>
      <w:bCs/>
      <w:sz w:val="20"/>
      <w:szCs w:val="20"/>
    </w:rPr>
  </w:style>
  <w:style w:type="paragraph" w:styleId="TOC3">
    <w:name w:val="TOC 3"/>
    <w:basedOn w:val="Normal"/>
    <w:next w:val="Normal"/>
    <w:uiPriority w:val="39"/>
    <w:pPr>
      <w:ind w:left="480" w:firstLine="652"/>
    </w:pPr>
    <w:rPr>
      <w:rFonts w:ascii="Calibri" w:hAnsi="Calibri" w:ascii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ind w:left="720" w:firstLine="652"/>
    </w:pPr>
    <w:rPr>
      <w:rFonts w:ascii="Calibri" w:hAnsi="Calibri" w:asciiTheme="minorHAnsi" w:hAnsiTheme="minorHAnsi"/>
      <w:sz w:val="20"/>
      <w:szCs w:val="20"/>
    </w:rPr>
  </w:style>
  <w:style w:type="paragraph" w:styleId="Style17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0"/>
    <w:uiPriority w:val="99"/>
    <w:unhideWhenUsed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18" w:customStyle="1">
    <w:name w:val="Таблица шапка"/>
    <w:basedOn w:val="Normal"/>
    <w:qFormat/>
    <w:pPr>
      <w:keepNext w:val="true"/>
      <w:spacing w:before="40" w:after="40"/>
      <w:ind w:left="57" w:right="57" w:firstLine="652"/>
    </w:pPr>
    <w:rPr>
      <w:sz w:val="22"/>
      <w:szCs w:val="2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Style19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Cs w:val="24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Annotationtext"/>
    <w:next w:val="Annotationtext"/>
    <w:link w:val="Style13"/>
    <w:uiPriority w:val="99"/>
    <w:semiHidden/>
    <w:unhideWhenUsed/>
    <w:qFormat/>
    <w:pPr/>
    <w:rPr>
      <w:b/>
      <w:bCs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unhideWhenUsed/>
    <w:qFormat/>
    <w:pPr>
      <w:keepLines/>
      <w:spacing w:lineRule="auto" w:line="259" w:before="240" w:after="0"/>
      <w:outlineLvl w:val="9"/>
    </w:pPr>
    <w:rPr>
      <w:rFonts w:ascii="Calibri Light" w:hAnsi="Calibri Light" w:eastAsia="Arial" w:cs="Arial" w:asciiTheme="majorHAnsi" w:cstheme="majorBidi" w:eastAsiaTheme="majorEastAsia" w:hAnsiTheme="majorHAnsi"/>
      <w:b w:val="false"/>
      <w:color w:val="2E74B5" w:themeColor="accent1" w:themeShade="bf"/>
      <w:sz w:val="32"/>
      <w:szCs w:val="32"/>
    </w:rPr>
  </w:style>
  <w:style w:type="paragraph" w:styleId="TOC2">
    <w:name w:val="TOC 2"/>
    <w:basedOn w:val="Normal"/>
    <w:next w:val="Normal"/>
    <w:uiPriority w:val="39"/>
    <w:unhideWhenUsed/>
    <w:pPr>
      <w:spacing w:before="120" w:after="0"/>
      <w:ind w:left="240" w:firstLine="652"/>
    </w:pPr>
    <w:rPr>
      <w:rFonts w:ascii="Calibri" w:hAnsi="Calibri" w:asciiTheme="minorHAnsi" w:hAnsiTheme="minorHAnsi"/>
      <w:i/>
      <w:iCs/>
      <w:sz w:val="20"/>
      <w:szCs w:val="20"/>
    </w:rPr>
  </w:style>
  <w:style w:type="paragraph" w:styleId="TOC5">
    <w:name w:val="TOC 5"/>
    <w:basedOn w:val="Normal"/>
    <w:next w:val="Normal"/>
    <w:uiPriority w:val="39"/>
    <w:unhideWhenUsed/>
    <w:pPr>
      <w:ind w:left="960" w:firstLine="652"/>
    </w:pPr>
    <w:rPr>
      <w:rFonts w:ascii="Calibri" w:hAnsi="Calibri" w:asciiTheme="minorHAnsi" w:hAnsiTheme="minorHAnsi"/>
      <w:sz w:val="20"/>
      <w:szCs w:val="20"/>
    </w:rPr>
  </w:style>
  <w:style w:type="paragraph" w:styleId="TOC6">
    <w:name w:val="TOC 6"/>
    <w:basedOn w:val="Normal"/>
    <w:next w:val="Normal"/>
    <w:uiPriority w:val="39"/>
    <w:unhideWhenUsed/>
    <w:pPr>
      <w:ind w:left="1200" w:firstLine="652"/>
    </w:pPr>
    <w:rPr>
      <w:rFonts w:ascii="Calibri" w:hAnsi="Calibri" w:asciiTheme="minorHAnsi" w:hAnsiTheme="minorHAnsi"/>
      <w:sz w:val="20"/>
      <w:szCs w:val="20"/>
    </w:rPr>
  </w:style>
  <w:style w:type="paragraph" w:styleId="TOC7">
    <w:name w:val="TOC 7"/>
    <w:basedOn w:val="Normal"/>
    <w:next w:val="Normal"/>
    <w:uiPriority w:val="39"/>
    <w:unhideWhenUsed/>
    <w:pPr>
      <w:ind w:left="1440" w:firstLine="652"/>
    </w:pPr>
    <w:rPr>
      <w:rFonts w:ascii="Calibri" w:hAnsi="Calibri" w:asciiTheme="minorHAnsi" w:hAnsiTheme="minorHAnsi"/>
      <w:sz w:val="20"/>
      <w:szCs w:val="20"/>
    </w:rPr>
  </w:style>
  <w:style w:type="paragraph" w:styleId="TOC8">
    <w:name w:val="TOC 8"/>
    <w:basedOn w:val="Normal"/>
    <w:next w:val="Normal"/>
    <w:uiPriority w:val="39"/>
    <w:unhideWhenUsed/>
    <w:pPr>
      <w:ind w:left="1680" w:firstLine="652"/>
    </w:pPr>
    <w:rPr>
      <w:rFonts w:ascii="Calibri" w:hAnsi="Calibri" w:asciiTheme="minorHAnsi" w:hAnsiTheme="minorHAnsi"/>
      <w:sz w:val="20"/>
      <w:szCs w:val="20"/>
    </w:rPr>
  </w:style>
  <w:style w:type="paragraph" w:styleId="TOC9">
    <w:name w:val="TOC 9"/>
    <w:basedOn w:val="Normal"/>
    <w:next w:val="Normal"/>
    <w:uiPriority w:val="39"/>
    <w:unhideWhenUsed/>
    <w:pPr>
      <w:ind w:left="1920" w:firstLine="652"/>
    </w:pPr>
    <w:rPr>
      <w:rFonts w:ascii="Calibri" w:hAnsi="Calibri" w:asciiTheme="minorHAnsi" w:hAnsiTheme="minorHAnsi"/>
      <w:sz w:val="20"/>
      <w:szCs w:val="20"/>
    </w:rPr>
  </w:style>
  <w:style w:type="paragraph" w:styleId="Style20" w:customStyle="1">
    <w:name w:val="[РГ] Текст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40" w:beforeAutospacing="0" w:before="120" w:afterAutospacing="0" w:after="0"/>
      <w:ind w:left="0" w:right="0" w:hanging="0"/>
      <w:jc w:val="both"/>
    </w:pPr>
    <w:rPr>
      <w:rFonts w:ascii="Times New Roman" w:hAnsi="Times New Roman" w:eastAsia="Times New Roman" w:cs="Times New Roman (???????? ?????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position w:val="0"/>
      <w:sz w:val="26"/>
      <w:sz w:val="26"/>
      <w:szCs w:val="24"/>
      <w:u w:val="none"/>
      <w:vertAlign w:val="baseline"/>
      <w:lang w:val="ru-RU" w:eastAsia="en-US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77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806">
    <w:name w:val="Table Grid Light"/>
    <w:basedOn w:val="77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807">
    <w:name w:val="Plain Table 1"/>
    <w:basedOn w:val="77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customStyle="1" w:styleId="808">
    <w:name w:val="Plain Table 2"/>
    <w:basedOn w:val="77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customStyle="1" w:styleId="809">
    <w:name w:val="Plain Table 3"/>
    <w:basedOn w:val="771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customStyle="1" w:styleId="810">
    <w:name w:val="Plain Table 4"/>
    <w:basedOn w:val="771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1">
    <w:name w:val="Plain Table 5"/>
    <w:basedOn w:val="771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12">
    <w:name w:val="Grid Table 1 Light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3">
    <w:name w:val="Grid Table 1 Light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4">
    <w:name w:val="Grid Table 1 Light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5">
    <w:name w:val="Grid Table 1 Light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6">
    <w:name w:val="Grid Table 1 Light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7">
    <w:name w:val="Grid Table 1 Light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8">
    <w:name w:val="Grid Table 1 Light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9">
    <w:name w:val="Grid Table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0">
    <w:name w:val="Grid Table 2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1">
    <w:name w:val="Grid Table 2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2">
    <w:name w:val="Grid Table 2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3">
    <w:name w:val="Grid Table 2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4">
    <w:name w:val="Grid Table 2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5">
    <w:name w:val="Grid Table 2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6">
    <w:name w:val="Grid Table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7">
    <w:name w:val="Grid Table 3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8">
    <w:name w:val="Grid Table 3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9">
    <w:name w:val="Grid Table 3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0">
    <w:name w:val="Grid Table 3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1">
    <w:name w:val="Grid Table 3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2">
    <w:name w:val="Grid Table 3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33">
    <w:name w:val="Grid Table 4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834">
    <w:name w:val="Grid Table 4 - Accent 1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  <w:shd w:val="clear" w:color="68A2D8" w:fill="68A2D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8A2D8" w:themeColor="accent1" w:sz="4" w:space="0"/>
        </w:tcBorders>
      </w:tcPr>
    </w:tblStylePr>
  </w:style>
  <w:style w:type="table" w:customStyle="1" w:styleId="835">
    <w:name w:val="Grid Table 4 - Accent 2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836">
    <w:name w:val="Grid Table 4 - Accent 3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</w:style>
  <w:style w:type="table" w:customStyle="1" w:styleId="837">
    <w:name w:val="Grid Table 4 - Accent 4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838">
    <w:name w:val="Grid Table 4 - Accent 5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</w:style>
  <w:style w:type="table" w:customStyle="1" w:styleId="839">
    <w:name w:val="Grid Table 4 - Accent 6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</w:style>
  <w:style w:type="table" w:customStyle="1" w:styleId="840">
    <w:name w:val="Grid Table 5 Dark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841">
    <w:name w:val="Grid Table 5 Dark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3D0EB" w:fill="B3D0EB" w:themeFill="accent1" w:themeFillTint="75"/>
      </w:tcPr>
    </w:tblStylePr>
    <w:tblStylePr w:type="band1Vert">
      <w:tblPr/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842">
    <w:name w:val="Grid Table 5 Dark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</w:style>
  <w:style w:type="table" w:customStyle="1" w:styleId="843">
    <w:name w:val="Grid Table 5 Dark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</w:style>
  <w:style w:type="table" w:customStyle="1" w:styleId="844">
    <w:name w:val="Grid Table 5 Dark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</w:style>
  <w:style w:type="table" w:customStyle="1" w:styleId="845">
    <w:name w:val="Grid Table 5 Dark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A9BEE4" w:fill="A9BEE4" w:themeFill="accent5" w:themeFillTint="7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</w:style>
  <w:style w:type="table" w:customStyle="1" w:styleId="846">
    <w:name w:val="Grid Table 5 Dark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</w:style>
  <w:style w:type="table" w:customStyle="1" w:styleId="847">
    <w:name w:val="Grid Table 6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848">
    <w:name w:val="Grid Table 6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firstRow">
      <w:rPr>
        <w:b/>
        <w:color w:val="ACCCEA" w:themeColor="accent1" w:themeTint="80" w:themeShade="95"/>
      </w:rPr>
      <w:tblPr/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  <w:tblPr/>
    </w:tblStylePr>
    <w:tblStylePr w:type="lastRow">
      <w:rPr>
        <w:b/>
        <w:color w:val="ACCCEA" w:themeColor="accent1" w:themeTint="80" w:themeShade="95"/>
      </w:rPr>
      <w:tblPr/>
    </w:tblStylePr>
  </w:style>
  <w:style w:type="table" w:customStyle="1" w:styleId="849">
    <w:name w:val="Grid Table 6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</w:tblStylePr>
  </w:style>
  <w:style w:type="table" w:customStyle="1" w:styleId="850">
    <w:name w:val="Grid Table 6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tblPr/>
    </w:tblStylePr>
    <w:tblStylePr w:type="lastRow">
      <w:rPr>
        <w:b/>
        <w:color w:val="A5A5A5" w:themeColor="accent3" w:themeTint="fe" w:themeShade="95"/>
      </w:rPr>
      <w:tblPr/>
    </w:tblStylePr>
  </w:style>
  <w:style w:type="table" w:customStyle="1" w:styleId="851">
    <w:name w:val="Grid Table 6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</w:tblStylePr>
  </w:style>
  <w:style w:type="table" w:customStyle="1" w:styleId="852">
    <w:name w:val="Grid Table 6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rPr>
        <w:b/>
        <w:color w:val="254175" w:themeColor="accent5" w:themeShade="95"/>
      </w:rPr>
      <w:tblPr/>
    </w:tblStyle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tblPr/>
    </w:tblStylePr>
    <w:tblStylePr w:type="lastRow">
      <w:rPr>
        <w:b/>
        <w:color w:val="254175" w:themeColor="accent5" w:themeShade="95"/>
      </w:rPr>
      <w:tblPr/>
    </w:tblStylePr>
  </w:style>
  <w:style w:type="table" w:customStyle="1" w:styleId="853">
    <w:name w:val="Grid Table 6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rPr>
        <w:b/>
        <w:color w:val="254175" w:themeColor="accent5" w:themeShade="95"/>
      </w:rPr>
      <w:tblPr/>
    </w:tblStyle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tblPr/>
    </w:tblStylePr>
    <w:tblStylePr w:type="lastRow">
      <w:rPr>
        <w:b/>
        <w:color w:val="254175" w:themeColor="accent5" w:themeShade="95"/>
      </w:rPr>
      <w:tblPr/>
    </w:tblStylePr>
  </w:style>
  <w:style w:type="table" w:customStyle="1" w:styleId="854">
    <w:name w:val="Grid Table 7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5">
    <w:name w:val="Grid Table 7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sz="4" w:space="0"/>
        </w:tcBorders>
        <w:shd w:val="clear" w:color="FFFFFF" w:fill="auto"/>
      </w:tcPr>
    </w:tblStyle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CCCEA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000000" w:sz="0" w:space="0"/>
          <w:left w:val="single" w:color="ACCCEA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ACCCEA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6">
    <w:name w:val="Grid Table 7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7">
    <w:name w:val="Grid Table 7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8">
    <w:name w:val="Grid Table 7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9">
    <w:name w:val="Grid Table 7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sz="4" w:space="0"/>
        </w:tcBorders>
        <w:shd w:val="clear" w:color="FFFFFF" w:fill="auto"/>
      </w:tcPr>
    </w:tblStyle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5AFDD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000000" w:sz="0" w:space="0"/>
          <w:left w:val="single" w:color="95AFDD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95AFDD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60">
    <w:name w:val="Grid Table 7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61">
    <w:name w:val="List Table 1 Light"/>
    <w:basedOn w:val="771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62">
    <w:name w:val="List Table 1 Light - Accent 1"/>
    <w:basedOn w:val="771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63">
    <w:name w:val="List Table 1 Light - Accent 2"/>
    <w:basedOn w:val="771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64">
    <w:name w:val="List Table 1 Light - Accent 3"/>
    <w:basedOn w:val="771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65">
    <w:name w:val="List Table 1 Light - Accent 4"/>
    <w:basedOn w:val="771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66">
    <w:name w:val="List Table 1 Light - Accent 5"/>
    <w:basedOn w:val="771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67">
    <w:name w:val="List Table 1 Light - Accent 6"/>
    <w:basedOn w:val="771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68">
    <w:name w:val="List Table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869">
    <w:name w:val="List Table 2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customStyle="1" w:styleId="870">
    <w:name w:val="List Table 2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customStyle="1" w:styleId="871">
    <w:name w:val="List Table 2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customStyle="1" w:styleId="872">
    <w:name w:val="List Table 2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customStyle="1" w:styleId="873">
    <w:name w:val="List Table 2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customStyle="1" w:styleId="874">
    <w:name w:val="List Table 2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customStyle="1" w:styleId="875">
    <w:name w:val="List Table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6">
    <w:name w:val="List Table 3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7">
    <w:name w:val="List Table 3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8">
    <w:name w:val="List Table 3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9">
    <w:name w:val="List Table 3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0">
    <w:name w:val="List Table 3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1">
    <w:name w:val="List Table 3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2">
    <w:name w:val="List Table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3">
    <w:name w:val="List Table 4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4">
    <w:name w:val="List Table 4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5">
    <w:name w:val="List Table 4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6">
    <w:name w:val="List Table 4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7">
    <w:name w:val="List Table 4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8">
    <w:name w:val="List Table 4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9">
    <w:name w:val="List Table 5 Dark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0">
    <w:name w:val="List Table 5 Dark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1">
    <w:name w:val="List Table 5 Dark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2">
    <w:name w:val="List Table 5 Dark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3">
    <w:name w:val="List Table 5 Dark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4">
    <w:name w:val="List Table 5 Dark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8DA9DB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5">
    <w:name w:val="List Table 5 Dark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96">
    <w:name w:val="List Table 6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897">
    <w:name w:val="List Table 6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  <w:tblStylePr w:type="firstCol">
      <w:rPr>
        <w:b/>
        <w:color w:val="245A8D" w:themeColor="accent1" w:themeShade="95"/>
      </w:rPr>
      <w:tblPr/>
    </w:tblStyle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tblPr/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</w:style>
  <w:style w:type="table" w:customStyle="1" w:styleId="898">
    <w:name w:val="List Table 6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899">
    <w:name w:val="List Table 6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rPr>
        <w:b/>
        <w:color w:val="C9C9C9" w:themeColor="accent3" w:themeTint="98" w:themeShade="95"/>
      </w:rPr>
      <w:tblPr/>
    </w:tblStyle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tblPr/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</w:style>
  <w:style w:type="table" w:customStyle="1" w:styleId="900">
    <w:name w:val="List Table 6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901">
    <w:name w:val="List Table 6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  <w:tblStylePr w:type="firstCol">
      <w:rPr>
        <w:b/>
        <w:color w:val="8DA9DB" w:themeColor="accent5" w:themeTint="9a" w:themeShade="95"/>
      </w:rPr>
      <w:tblPr/>
    </w:tblStylePr>
    <w:tblStylePr w:type="firstRow">
      <w:rPr>
        <w:b/>
        <w:color w:val="8DA9DB" w:themeColor="accent5" w:themeTint="9a" w:themeShade="95"/>
      </w:rPr>
      <w:tblPr/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  <w:tblPr/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8DA9DB" w:themeColor="accent5" w:sz="4" w:space="0"/>
        </w:tcBorders>
      </w:tcPr>
    </w:tblStylePr>
  </w:style>
  <w:style w:type="table" w:customStyle="1" w:styleId="902">
    <w:name w:val="List Table 6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rPr>
        <w:b/>
        <w:color w:val="A9D08E" w:themeColor="accent6" w:themeTint="98" w:themeShade="95"/>
      </w:rPr>
      <w:tblPr/>
    </w:tblStyle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tblPr/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</w:style>
  <w:style w:type="table" w:customStyle="1" w:styleId="903">
    <w:name w:val="List Table 7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04">
    <w:name w:val="List Table 7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  <w:shd w:val="clear" w:color="FFFFFF" w:fill="auto"/>
      </w:tcPr>
    </w:tblStyle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05">
    <w:name w:val="List Table 7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06">
    <w:name w:val="List Table 7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07">
    <w:name w:val="List Table 7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08">
    <w:name w:val="List Table 7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sz="4" w:space="0"/>
        </w:tcBorders>
        <w:shd w:val="clear" w:color="FFFFFF" w:fill="auto"/>
      </w:tcPr>
    </w:tblStyle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8DA9DB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000000" w:sz="0" w:space="0"/>
          <w:left w:val="single" w:color="8DA9DB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8DA9DB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09">
    <w:name w:val="List Table 7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10">
    <w:name w:val="Lined - Accent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11">
    <w:name w:val="Lined - Accent 1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912">
    <w:name w:val="Lined - Accent 2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913">
    <w:name w:val="Lined - Accent 3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914">
    <w:name w:val="Lined - Accent 4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915">
    <w:name w:val="Lined - Accent 5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</w:style>
  <w:style w:type="table" w:customStyle="1" w:styleId="916">
    <w:name w:val="Lined - Accent 6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917">
    <w:name w:val="Bordered &amp; Lined - Accent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18">
    <w:name w:val="Bordered &amp; Lined - Accent 1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919">
    <w:name w:val="Bordered &amp; Lined - Accent 2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920">
    <w:name w:val="Bordered &amp; Lined - Accent 3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921">
    <w:name w:val="Bordered &amp; Lined - Accent 4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922">
    <w:name w:val="Bordered &amp; Lined - Accent 5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</w:style>
  <w:style w:type="table" w:customStyle="1" w:styleId="923">
    <w:name w:val="Bordered &amp; Lined - Accent 6"/>
    <w:basedOn w:val="77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924">
    <w:name w:val="Bordered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925">
    <w:name w:val="Bordered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</w:style>
  <w:style w:type="table" w:customStyle="1" w:styleId="926">
    <w:name w:val="Bordered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</w:style>
  <w:style w:type="table" w:customStyle="1" w:styleId="927">
    <w:name w:val="Bordered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</w:style>
  <w:style w:type="table" w:customStyle="1" w:styleId="928">
    <w:name w:val="Bordered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</w:style>
  <w:style w:type="table" w:customStyle="1" w:styleId="929">
    <w:name w:val="Bordered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8DA9DB" w:themeColor="accent5" w:sz="12" w:space="0"/>
        </w:tcBorders>
      </w:tcPr>
    </w:tblStylePr>
  </w:style>
  <w:style w:type="table" w:customStyle="1" w:styleId="930">
    <w:name w:val="Bordered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</w:style>
  <w:style w:type="table" w:styleId="944">
    <w:name w:val="Table Grid"/>
    <w:basedOn w:val="771"/>
    <w:uiPriority w:val="39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957">
    <w:name w:val="Сетка таблицы1"/>
    <w:basedOn w:val="771"/>
    <w:uiPriority w:val="39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971">
    <w:name w:val="Сетка таблицы12"/>
    <w:basedOn w:val="771"/>
    <w:uiPriority w:val="39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yperlink" Target="http://www.zakupki.gov.ru/" TargetMode="External"/><Relationship Id="rId4" Type="http://schemas.openxmlformats.org/officeDocument/2006/relationships/hyperlink" Target="mailto:khalturina-ny@dgk.ru" TargetMode="Externa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footer" Target="footer4.xml"/><Relationship Id="rId8" Type="http://schemas.openxmlformats.org/officeDocument/2006/relationships/footer" Target="footer5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DBD09-44F9-47CE-A311-43CC19566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AlterOffice/2025.3.1.0$Linux_X86_64 LibreOffice_project/431cd1b79110582f53535c95ed0a2449aadc8bf9</Application>
  <AppVersion>15.0000</AppVersion>
  <Pages>21</Pages>
  <Words>3485</Words>
  <Characters>24096</Characters>
  <CharactersWithSpaces>27271</CharactersWithSpaces>
  <Paragraphs>285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2023-01-19T07:51:00Z</dcterms:created>
  <dc:creator>Гуляева Анна Викторовна</dc:creator>
  <dc:description/>
  <dc:language>ru-RU</dc:language>
  <cp:lastModifiedBy>evstratenko_av@DGK.RU</cp:lastModifiedBy>
  <dcterms:modified xsi:type="dcterms:W3CDTF">2026-08-13T16:21:27Z</dcterms:modified>
  <cp:revision>93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